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C440" w14:textId="5446DA8E" w:rsidR="008F2842" w:rsidRPr="0077073D" w:rsidRDefault="008F2842" w:rsidP="00A441A7">
      <w:pPr>
        <w:spacing w:after="0" w:line="235" w:lineRule="atLeast"/>
        <w:jc w:val="both"/>
        <w:rPr>
          <w:rFonts w:ascii="Arial" w:eastAsia="Times New Roman" w:hAnsi="Arial" w:cs="Arial"/>
          <w:i/>
          <w:iCs/>
          <w:color w:val="000000"/>
          <w:sz w:val="20"/>
          <w:szCs w:val="20"/>
          <w:lang w:eastAsia="en-GB"/>
        </w:rPr>
      </w:pPr>
      <w:bookmarkStart w:id="0" w:name="_Hlk106611333"/>
      <w:r w:rsidRPr="0077073D">
        <w:rPr>
          <w:rFonts w:ascii="Arial" w:eastAsia="Times New Roman" w:hAnsi="Arial" w:cs="Arial"/>
          <w:i/>
          <w:iCs/>
          <w:color w:val="000000"/>
          <w:sz w:val="20"/>
          <w:szCs w:val="20"/>
          <w:lang w:eastAsia="en-GB"/>
        </w:rPr>
        <w:t>The information contained within this announcement is deemed by the Company to constitute inside information as stipulated under the Market Abuse Regulations (EU) No. 596/2014 as amended by regulation 11 of the Market Abuse (Amendment) (EU Exit) Regulations 2019/310. Upon the publication of this announcement via Regulatory Information Service, this inside information is now considered to be in the public domain.</w:t>
      </w:r>
    </w:p>
    <w:p w14:paraId="646CB559" w14:textId="77777777" w:rsidR="008F2842" w:rsidRPr="0077073D" w:rsidRDefault="008F2842" w:rsidP="008F2842">
      <w:pPr>
        <w:spacing w:after="0" w:line="235" w:lineRule="atLeast"/>
        <w:rPr>
          <w:rFonts w:ascii="Arial" w:eastAsia="Times New Roman" w:hAnsi="Arial" w:cs="Arial"/>
          <w:color w:val="000000"/>
          <w:sz w:val="20"/>
          <w:szCs w:val="20"/>
          <w:lang w:eastAsia="en-GB"/>
        </w:rPr>
      </w:pPr>
      <w:r w:rsidRPr="0077073D">
        <w:rPr>
          <w:rFonts w:ascii="Arial" w:eastAsia="Times New Roman" w:hAnsi="Arial" w:cs="Arial"/>
          <w:color w:val="000000"/>
          <w:sz w:val="20"/>
          <w:szCs w:val="20"/>
          <w:lang w:eastAsia="en-GB"/>
        </w:rPr>
        <w:t> </w:t>
      </w:r>
    </w:p>
    <w:p w14:paraId="39760FF8" w14:textId="2972ECEF" w:rsidR="008F2842" w:rsidRPr="0077073D" w:rsidRDefault="008713B6" w:rsidP="008F2842">
      <w:pPr>
        <w:spacing w:after="0" w:line="235"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23 </w:t>
      </w:r>
      <w:r w:rsidR="00B826A5" w:rsidRPr="0077073D">
        <w:rPr>
          <w:rFonts w:ascii="Arial" w:eastAsia="Times New Roman" w:hAnsi="Arial" w:cs="Arial"/>
          <w:color w:val="000000"/>
          <w:sz w:val="20"/>
          <w:szCs w:val="20"/>
          <w:lang w:eastAsia="en-GB"/>
        </w:rPr>
        <w:t>Ju</w:t>
      </w:r>
      <w:r w:rsidR="003B57FC">
        <w:rPr>
          <w:rFonts w:ascii="Arial" w:eastAsia="Times New Roman" w:hAnsi="Arial" w:cs="Arial"/>
          <w:color w:val="000000"/>
          <w:sz w:val="20"/>
          <w:szCs w:val="20"/>
          <w:lang w:eastAsia="en-GB"/>
        </w:rPr>
        <w:t>ly</w:t>
      </w:r>
      <w:r w:rsidR="00B826A5" w:rsidRPr="0077073D">
        <w:rPr>
          <w:rFonts w:ascii="Arial" w:eastAsia="Times New Roman" w:hAnsi="Arial" w:cs="Arial"/>
          <w:color w:val="000000"/>
          <w:sz w:val="20"/>
          <w:szCs w:val="20"/>
          <w:lang w:eastAsia="en-GB"/>
        </w:rPr>
        <w:t xml:space="preserve"> </w:t>
      </w:r>
      <w:r w:rsidR="008F2842" w:rsidRPr="0077073D">
        <w:rPr>
          <w:rFonts w:ascii="Arial" w:eastAsia="Times New Roman" w:hAnsi="Arial" w:cs="Arial"/>
          <w:color w:val="000000"/>
          <w:sz w:val="20"/>
          <w:szCs w:val="20"/>
          <w:lang w:eastAsia="en-GB"/>
        </w:rPr>
        <w:t>202</w:t>
      </w:r>
      <w:r w:rsidR="00D62015">
        <w:rPr>
          <w:rFonts w:ascii="Arial" w:eastAsia="Times New Roman" w:hAnsi="Arial" w:cs="Arial"/>
          <w:color w:val="000000"/>
          <w:sz w:val="20"/>
          <w:szCs w:val="20"/>
          <w:lang w:eastAsia="en-GB"/>
        </w:rPr>
        <w:t>4</w:t>
      </w:r>
    </w:p>
    <w:p w14:paraId="014F6182" w14:textId="77777777" w:rsidR="008F2842" w:rsidRPr="0077073D" w:rsidRDefault="008F2842" w:rsidP="008F2842">
      <w:pPr>
        <w:spacing w:after="0" w:line="235" w:lineRule="atLeast"/>
        <w:rPr>
          <w:rFonts w:ascii="Arial" w:eastAsia="Times New Roman" w:hAnsi="Arial" w:cs="Arial"/>
          <w:color w:val="000000"/>
          <w:sz w:val="20"/>
          <w:szCs w:val="20"/>
          <w:lang w:eastAsia="en-GB"/>
        </w:rPr>
      </w:pPr>
      <w:r w:rsidRPr="0077073D">
        <w:rPr>
          <w:rFonts w:ascii="Arial" w:eastAsia="Times New Roman" w:hAnsi="Arial" w:cs="Arial"/>
          <w:color w:val="000000"/>
          <w:sz w:val="20"/>
          <w:szCs w:val="20"/>
          <w:lang w:eastAsia="en-GB"/>
        </w:rPr>
        <w:t> </w:t>
      </w:r>
    </w:p>
    <w:p w14:paraId="5D5C657B" w14:textId="77777777" w:rsidR="008F2842" w:rsidRPr="0077073D" w:rsidRDefault="008F2842" w:rsidP="008F2842">
      <w:pPr>
        <w:spacing w:after="0" w:line="235" w:lineRule="atLeast"/>
        <w:jc w:val="center"/>
        <w:rPr>
          <w:rFonts w:ascii="Arial" w:eastAsia="Times New Roman" w:hAnsi="Arial" w:cs="Arial"/>
          <w:b/>
          <w:bCs/>
          <w:color w:val="000000"/>
          <w:sz w:val="20"/>
          <w:szCs w:val="20"/>
          <w:lang w:eastAsia="en-GB"/>
        </w:rPr>
      </w:pPr>
      <w:r w:rsidRPr="0077073D">
        <w:rPr>
          <w:rFonts w:ascii="Arial" w:eastAsia="Times New Roman" w:hAnsi="Arial" w:cs="Arial"/>
          <w:b/>
          <w:bCs/>
          <w:color w:val="000000"/>
          <w:sz w:val="20"/>
          <w:szCs w:val="20"/>
          <w:lang w:eastAsia="en-GB"/>
        </w:rPr>
        <w:t>Marlowe plc</w:t>
      </w:r>
    </w:p>
    <w:p w14:paraId="12ECFF29" w14:textId="77777777" w:rsidR="00561D1E" w:rsidRPr="0077073D" w:rsidRDefault="00561D1E" w:rsidP="00E21DF5">
      <w:pPr>
        <w:spacing w:after="0" w:line="235" w:lineRule="atLeast"/>
        <w:jc w:val="center"/>
        <w:rPr>
          <w:rFonts w:ascii="Arial" w:eastAsia="Times New Roman" w:hAnsi="Arial" w:cs="Arial"/>
          <w:b/>
          <w:bCs/>
          <w:color w:val="000000"/>
          <w:sz w:val="20"/>
          <w:szCs w:val="20"/>
          <w:lang w:eastAsia="en-GB"/>
        </w:rPr>
      </w:pPr>
    </w:p>
    <w:p w14:paraId="7D60B7BD" w14:textId="22849D3C" w:rsidR="008F2842" w:rsidRPr="00F72BA1" w:rsidRDefault="00B826A5" w:rsidP="00E21DF5">
      <w:pPr>
        <w:spacing w:after="0" w:line="235" w:lineRule="atLeast"/>
        <w:jc w:val="center"/>
        <w:rPr>
          <w:rFonts w:ascii="Arial" w:eastAsia="Times New Roman" w:hAnsi="Arial" w:cs="Arial"/>
          <w:b/>
          <w:bCs/>
          <w:color w:val="000000"/>
          <w:sz w:val="18"/>
          <w:szCs w:val="18"/>
          <w:lang w:eastAsia="en-GB"/>
        </w:rPr>
      </w:pPr>
      <w:r w:rsidRPr="0077073D">
        <w:rPr>
          <w:rFonts w:ascii="Arial" w:eastAsia="Times New Roman" w:hAnsi="Arial" w:cs="Arial"/>
          <w:b/>
          <w:bCs/>
          <w:color w:val="000000"/>
          <w:sz w:val="20"/>
          <w:szCs w:val="20"/>
          <w:lang w:eastAsia="en-GB"/>
        </w:rPr>
        <w:t xml:space="preserve">Preliminary </w:t>
      </w:r>
      <w:r w:rsidR="00D01DDA">
        <w:rPr>
          <w:rFonts w:ascii="Arial" w:eastAsia="Times New Roman" w:hAnsi="Arial" w:cs="Arial"/>
          <w:b/>
          <w:bCs/>
          <w:color w:val="000000"/>
          <w:sz w:val="20"/>
          <w:szCs w:val="20"/>
          <w:lang w:eastAsia="en-GB"/>
        </w:rPr>
        <w:t xml:space="preserve">unaudited </w:t>
      </w:r>
      <w:r w:rsidR="00CD5D4E" w:rsidRPr="0077073D">
        <w:rPr>
          <w:rFonts w:ascii="Arial" w:eastAsia="Times New Roman" w:hAnsi="Arial" w:cs="Arial"/>
          <w:b/>
          <w:bCs/>
          <w:color w:val="000000"/>
          <w:sz w:val="20"/>
          <w:szCs w:val="20"/>
          <w:lang w:eastAsia="en-GB"/>
        </w:rPr>
        <w:t xml:space="preserve">results for the </w:t>
      </w:r>
      <w:r w:rsidRPr="0077073D">
        <w:rPr>
          <w:rFonts w:ascii="Arial" w:eastAsia="Times New Roman" w:hAnsi="Arial" w:cs="Arial"/>
          <w:b/>
          <w:bCs/>
          <w:color w:val="000000"/>
          <w:sz w:val="20"/>
          <w:szCs w:val="20"/>
          <w:lang w:eastAsia="en-GB"/>
        </w:rPr>
        <w:t>year ended 31 March 202</w:t>
      </w:r>
      <w:r w:rsidR="00D62015">
        <w:rPr>
          <w:rFonts w:ascii="Arial" w:eastAsia="Times New Roman" w:hAnsi="Arial" w:cs="Arial"/>
          <w:b/>
          <w:bCs/>
          <w:color w:val="000000"/>
          <w:sz w:val="20"/>
          <w:szCs w:val="20"/>
          <w:lang w:eastAsia="en-GB"/>
        </w:rPr>
        <w:t>4</w:t>
      </w:r>
    </w:p>
    <w:p w14:paraId="4F8152D3" w14:textId="10558BD9" w:rsidR="002730B1" w:rsidRDefault="002730B1" w:rsidP="00E21DF5">
      <w:pPr>
        <w:spacing w:after="0" w:line="235" w:lineRule="atLeast"/>
        <w:jc w:val="center"/>
        <w:rPr>
          <w:rFonts w:ascii="Arial" w:eastAsia="Times New Roman" w:hAnsi="Arial" w:cs="Arial"/>
          <w:b/>
          <w:bCs/>
          <w:color w:val="000000"/>
          <w:sz w:val="20"/>
          <w:szCs w:val="20"/>
          <w:lang w:eastAsia="en-GB"/>
        </w:rPr>
      </w:pPr>
    </w:p>
    <w:p w14:paraId="59025F84" w14:textId="697D9318" w:rsidR="003B57FC" w:rsidRDefault="003B57FC" w:rsidP="003B57FC">
      <w:pPr>
        <w:pStyle w:val="ListParagraph"/>
        <w:spacing w:after="0" w:line="253" w:lineRule="atLeast"/>
        <w:ind w:left="0"/>
        <w:jc w:val="center"/>
        <w:rPr>
          <w:rFonts w:ascii="Arial" w:eastAsia="Times New Roman" w:hAnsi="Arial" w:cs="Arial"/>
          <w:i/>
          <w:iCs/>
          <w:color w:val="000000"/>
          <w:sz w:val="20"/>
          <w:szCs w:val="20"/>
          <w:lang w:eastAsia="en-GB"/>
        </w:rPr>
      </w:pPr>
      <w:r>
        <w:rPr>
          <w:rFonts w:ascii="Arial" w:eastAsia="Times New Roman" w:hAnsi="Arial" w:cs="Arial"/>
          <w:i/>
          <w:iCs/>
          <w:color w:val="000000"/>
          <w:sz w:val="20"/>
          <w:szCs w:val="20"/>
          <w:lang w:eastAsia="en-GB"/>
        </w:rPr>
        <w:t>Marlowe</w:t>
      </w:r>
      <w:r w:rsidR="00742892">
        <w:rPr>
          <w:rFonts w:ascii="Arial" w:eastAsia="Times New Roman" w:hAnsi="Arial" w:cs="Arial"/>
          <w:i/>
          <w:iCs/>
          <w:color w:val="000000"/>
          <w:sz w:val="20"/>
          <w:szCs w:val="20"/>
          <w:lang w:eastAsia="en-GB"/>
        </w:rPr>
        <w:t>’s</w:t>
      </w:r>
      <w:r>
        <w:rPr>
          <w:rFonts w:ascii="Arial" w:eastAsia="Times New Roman" w:hAnsi="Arial" w:cs="Arial"/>
          <w:i/>
          <w:iCs/>
          <w:color w:val="000000"/>
          <w:sz w:val="20"/>
          <w:szCs w:val="20"/>
          <w:lang w:eastAsia="en-GB"/>
        </w:rPr>
        <w:t xml:space="preserve"> strategy </w:t>
      </w:r>
      <w:r w:rsidR="00742892">
        <w:rPr>
          <w:rFonts w:ascii="Arial" w:eastAsia="Times New Roman" w:hAnsi="Arial" w:cs="Arial"/>
          <w:i/>
          <w:iCs/>
          <w:color w:val="000000"/>
          <w:sz w:val="20"/>
          <w:szCs w:val="20"/>
          <w:lang w:eastAsia="en-GB"/>
        </w:rPr>
        <w:t xml:space="preserve">moving forward is </w:t>
      </w:r>
      <w:r>
        <w:rPr>
          <w:rFonts w:ascii="Arial" w:eastAsia="Times New Roman" w:hAnsi="Arial" w:cs="Arial"/>
          <w:i/>
          <w:iCs/>
          <w:color w:val="000000"/>
          <w:sz w:val="20"/>
          <w:szCs w:val="20"/>
          <w:lang w:eastAsia="en-GB"/>
        </w:rPr>
        <w:t xml:space="preserve">focussed on </w:t>
      </w:r>
      <w:r w:rsidR="004A5D8B">
        <w:rPr>
          <w:rFonts w:ascii="Arial" w:eastAsia="Times New Roman" w:hAnsi="Arial" w:cs="Arial"/>
          <w:i/>
          <w:iCs/>
          <w:color w:val="000000"/>
          <w:sz w:val="20"/>
          <w:szCs w:val="20"/>
          <w:lang w:eastAsia="en-GB"/>
        </w:rPr>
        <w:t xml:space="preserve">the </w:t>
      </w:r>
      <w:r>
        <w:rPr>
          <w:rFonts w:ascii="Arial" w:eastAsia="Times New Roman" w:hAnsi="Arial" w:cs="Arial"/>
          <w:i/>
          <w:iCs/>
          <w:color w:val="000000"/>
          <w:sz w:val="20"/>
          <w:szCs w:val="20"/>
          <w:lang w:eastAsia="en-GB"/>
        </w:rPr>
        <w:t>highly attractive and regulated business-critical service markets across Testing, Inspection &amp; Certification and Occupational Health</w:t>
      </w:r>
    </w:p>
    <w:p w14:paraId="4B17332E" w14:textId="77777777" w:rsidR="003B57FC" w:rsidRDefault="003B57FC" w:rsidP="003B57FC">
      <w:pPr>
        <w:pStyle w:val="ListParagraph"/>
        <w:spacing w:after="0" w:line="253" w:lineRule="atLeast"/>
        <w:ind w:left="0"/>
        <w:jc w:val="center"/>
        <w:rPr>
          <w:rFonts w:ascii="Arial" w:eastAsia="Times New Roman" w:hAnsi="Arial" w:cs="Arial"/>
          <w:b/>
          <w:bCs/>
          <w:i/>
          <w:iCs/>
          <w:color w:val="000000"/>
          <w:sz w:val="20"/>
          <w:szCs w:val="20"/>
          <w:u w:val="single"/>
          <w:lang w:eastAsia="en-GB"/>
        </w:rPr>
      </w:pPr>
    </w:p>
    <w:p w14:paraId="54133896" w14:textId="77777777" w:rsidR="003B57FC" w:rsidRDefault="003B57FC" w:rsidP="003B57FC">
      <w:pPr>
        <w:pStyle w:val="ListParagraph"/>
        <w:spacing w:after="0" w:line="253" w:lineRule="atLeast"/>
        <w:jc w:val="center"/>
        <w:rPr>
          <w:rFonts w:ascii="Arial" w:eastAsia="Times New Roman" w:hAnsi="Arial" w:cs="Arial"/>
          <w:b/>
          <w:bCs/>
          <w:color w:val="000000"/>
          <w:sz w:val="20"/>
          <w:szCs w:val="20"/>
          <w:lang w:eastAsia="en-GB"/>
        </w:rPr>
      </w:pPr>
      <w:r>
        <w:rPr>
          <w:rFonts w:ascii="Arial" w:eastAsia="Times New Roman" w:hAnsi="Arial" w:cs="Arial"/>
          <w:i/>
          <w:iCs/>
          <w:color w:val="000000"/>
          <w:sz w:val="20"/>
          <w:szCs w:val="20"/>
          <w:lang w:eastAsia="en-GB"/>
        </w:rPr>
        <w:t>Performance in line with market expectations</w:t>
      </w:r>
    </w:p>
    <w:p w14:paraId="12D642EA" w14:textId="77777777" w:rsidR="003B57FC" w:rsidRPr="0077073D" w:rsidRDefault="003B57FC" w:rsidP="00E21DF5">
      <w:pPr>
        <w:spacing w:after="0" w:line="235" w:lineRule="atLeast"/>
        <w:jc w:val="center"/>
        <w:rPr>
          <w:rFonts w:ascii="Arial" w:eastAsia="Times New Roman" w:hAnsi="Arial" w:cs="Arial"/>
          <w:b/>
          <w:bCs/>
          <w:color w:val="000000"/>
          <w:sz w:val="20"/>
          <w:szCs w:val="20"/>
          <w:lang w:eastAsia="en-GB"/>
        </w:rPr>
      </w:pPr>
    </w:p>
    <w:p w14:paraId="0275C181" w14:textId="77777777" w:rsidR="008F2842" w:rsidRPr="0077073D" w:rsidRDefault="008F2842" w:rsidP="008F2842">
      <w:pPr>
        <w:spacing w:after="0" w:line="235" w:lineRule="atLeast"/>
        <w:rPr>
          <w:rFonts w:ascii="Arial" w:eastAsia="Times New Roman" w:hAnsi="Arial" w:cs="Arial"/>
          <w:b/>
          <w:bCs/>
          <w:color w:val="000000"/>
          <w:sz w:val="20"/>
          <w:szCs w:val="20"/>
          <w:lang w:eastAsia="en-GB"/>
        </w:rPr>
      </w:pPr>
    </w:p>
    <w:p w14:paraId="7338B62F" w14:textId="1180FCB4" w:rsidR="00574B7B" w:rsidRPr="0077073D" w:rsidRDefault="008F2842" w:rsidP="00F048A8">
      <w:pPr>
        <w:spacing w:after="0" w:line="235" w:lineRule="atLeast"/>
        <w:jc w:val="both"/>
        <w:rPr>
          <w:rFonts w:ascii="Arial" w:hAnsi="Arial" w:cs="Arial"/>
          <w:color w:val="000000"/>
          <w:sz w:val="20"/>
          <w:szCs w:val="20"/>
        </w:rPr>
      </w:pPr>
      <w:r w:rsidRPr="0077073D">
        <w:rPr>
          <w:rStyle w:val="gs"/>
          <w:rFonts w:ascii="Arial" w:hAnsi="Arial" w:cs="Arial"/>
          <w:color w:val="000000"/>
          <w:sz w:val="20"/>
          <w:szCs w:val="20"/>
        </w:rPr>
        <w:t>Marlowe plc ("</w:t>
      </w:r>
      <w:r w:rsidRPr="0077073D">
        <w:rPr>
          <w:rStyle w:val="gs"/>
          <w:rFonts w:ascii="Arial" w:hAnsi="Arial" w:cs="Arial"/>
          <w:b/>
          <w:bCs/>
          <w:color w:val="000000"/>
          <w:sz w:val="20"/>
          <w:szCs w:val="20"/>
        </w:rPr>
        <w:t>Marlowe</w:t>
      </w:r>
      <w:r w:rsidRPr="0077073D">
        <w:rPr>
          <w:rStyle w:val="gs"/>
          <w:rFonts w:ascii="Arial" w:hAnsi="Arial" w:cs="Arial"/>
          <w:color w:val="000000"/>
          <w:sz w:val="20"/>
          <w:szCs w:val="20"/>
        </w:rPr>
        <w:t>", the "</w:t>
      </w:r>
      <w:r w:rsidRPr="0077073D">
        <w:rPr>
          <w:rStyle w:val="gs"/>
          <w:rFonts w:ascii="Arial" w:hAnsi="Arial" w:cs="Arial"/>
          <w:b/>
          <w:bCs/>
          <w:color w:val="000000"/>
          <w:sz w:val="20"/>
          <w:szCs w:val="20"/>
        </w:rPr>
        <w:t>Group</w:t>
      </w:r>
      <w:r w:rsidRPr="0077073D">
        <w:rPr>
          <w:rStyle w:val="gs"/>
          <w:rFonts w:ascii="Arial" w:hAnsi="Arial" w:cs="Arial"/>
          <w:color w:val="000000"/>
          <w:sz w:val="20"/>
          <w:szCs w:val="20"/>
        </w:rPr>
        <w:t>" or the "</w:t>
      </w:r>
      <w:r w:rsidRPr="0077073D">
        <w:rPr>
          <w:rStyle w:val="gs"/>
          <w:rFonts w:ascii="Arial" w:hAnsi="Arial" w:cs="Arial"/>
          <w:b/>
          <w:bCs/>
          <w:color w:val="000000"/>
          <w:sz w:val="20"/>
          <w:szCs w:val="20"/>
        </w:rPr>
        <w:t>Company</w:t>
      </w:r>
      <w:r w:rsidRPr="0077073D">
        <w:rPr>
          <w:rStyle w:val="gs"/>
          <w:rFonts w:ascii="Arial" w:hAnsi="Arial" w:cs="Arial"/>
          <w:color w:val="000000"/>
          <w:sz w:val="20"/>
          <w:szCs w:val="20"/>
        </w:rPr>
        <w:t>"), </w:t>
      </w:r>
      <w:r w:rsidR="00FE0243" w:rsidRPr="0077073D">
        <w:rPr>
          <w:rStyle w:val="gm"/>
          <w:rFonts w:ascii="Arial" w:hAnsi="Arial" w:cs="Arial"/>
          <w:color w:val="000000"/>
          <w:sz w:val="20"/>
          <w:szCs w:val="20"/>
        </w:rPr>
        <w:t>the leader</w:t>
      </w:r>
      <w:r w:rsidRPr="0077073D">
        <w:rPr>
          <w:rStyle w:val="gl"/>
          <w:rFonts w:ascii="Arial" w:hAnsi="Arial" w:cs="Arial"/>
          <w:color w:val="000000"/>
          <w:sz w:val="20"/>
          <w:szCs w:val="20"/>
        </w:rPr>
        <w:t xml:space="preserve"> in business-critical services</w:t>
      </w:r>
      <w:r w:rsidR="00A72612">
        <w:rPr>
          <w:rStyle w:val="gl"/>
          <w:rFonts w:ascii="Arial" w:hAnsi="Arial" w:cs="Arial"/>
          <w:color w:val="000000"/>
          <w:sz w:val="20"/>
          <w:szCs w:val="20"/>
        </w:rPr>
        <w:t xml:space="preserve"> </w:t>
      </w:r>
      <w:r w:rsidRPr="0077073D">
        <w:rPr>
          <w:rStyle w:val="gl"/>
          <w:rFonts w:ascii="Arial" w:hAnsi="Arial" w:cs="Arial"/>
          <w:color w:val="000000"/>
          <w:sz w:val="20"/>
          <w:szCs w:val="20"/>
        </w:rPr>
        <w:t>which assure safety and regulatory compliance</w:t>
      </w:r>
      <w:r w:rsidRPr="0077073D">
        <w:rPr>
          <w:rStyle w:val="gs"/>
          <w:rFonts w:ascii="Arial" w:hAnsi="Arial" w:cs="Arial"/>
          <w:color w:val="000000"/>
          <w:sz w:val="20"/>
          <w:szCs w:val="20"/>
        </w:rPr>
        <w:t xml:space="preserve">, </w:t>
      </w:r>
      <w:r w:rsidRPr="0077073D">
        <w:rPr>
          <w:rStyle w:val="ads"/>
          <w:rFonts w:ascii="Arial" w:hAnsi="Arial" w:cs="Arial"/>
          <w:color w:val="000000"/>
          <w:sz w:val="20"/>
          <w:szCs w:val="20"/>
        </w:rPr>
        <w:t>announces its</w:t>
      </w:r>
      <w:r w:rsidR="000D4F32" w:rsidRPr="0077073D">
        <w:rPr>
          <w:rStyle w:val="ads"/>
          <w:rFonts w:ascii="Arial" w:hAnsi="Arial" w:cs="Arial"/>
          <w:color w:val="000000"/>
          <w:sz w:val="20"/>
          <w:szCs w:val="20"/>
        </w:rPr>
        <w:t xml:space="preserve"> </w:t>
      </w:r>
      <w:r w:rsidR="003B57FC">
        <w:rPr>
          <w:rStyle w:val="ads"/>
          <w:rFonts w:ascii="Arial" w:hAnsi="Arial" w:cs="Arial"/>
          <w:color w:val="000000"/>
          <w:sz w:val="20"/>
          <w:szCs w:val="20"/>
        </w:rPr>
        <w:t>preliminary</w:t>
      </w:r>
      <w:r w:rsidR="00EE3127">
        <w:rPr>
          <w:rStyle w:val="ads"/>
          <w:rFonts w:ascii="Arial" w:hAnsi="Arial" w:cs="Arial"/>
          <w:color w:val="000000"/>
          <w:sz w:val="20"/>
          <w:szCs w:val="20"/>
        </w:rPr>
        <w:t xml:space="preserve"> </w:t>
      </w:r>
      <w:r w:rsidR="008A0DEE">
        <w:rPr>
          <w:rStyle w:val="ads"/>
          <w:rFonts w:ascii="Arial" w:hAnsi="Arial" w:cs="Arial"/>
          <w:color w:val="000000"/>
          <w:sz w:val="20"/>
          <w:szCs w:val="20"/>
        </w:rPr>
        <w:t>unaudited</w:t>
      </w:r>
      <w:r w:rsidR="008A0DEE" w:rsidRPr="0077073D">
        <w:rPr>
          <w:rStyle w:val="ads"/>
          <w:rFonts w:ascii="Arial" w:hAnsi="Arial" w:cs="Arial"/>
          <w:color w:val="000000"/>
          <w:sz w:val="20"/>
          <w:szCs w:val="20"/>
        </w:rPr>
        <w:t xml:space="preserve"> </w:t>
      </w:r>
      <w:r w:rsidRPr="0077073D">
        <w:rPr>
          <w:rStyle w:val="ads"/>
          <w:rFonts w:ascii="Arial" w:hAnsi="Arial" w:cs="Arial"/>
          <w:color w:val="000000"/>
          <w:sz w:val="20"/>
          <w:szCs w:val="20"/>
        </w:rPr>
        <w:t xml:space="preserve">results for </w:t>
      </w:r>
      <w:r w:rsidR="00B826A5" w:rsidRPr="0077073D">
        <w:rPr>
          <w:rStyle w:val="ads"/>
          <w:rFonts w:ascii="Arial" w:hAnsi="Arial" w:cs="Arial"/>
          <w:color w:val="000000"/>
          <w:sz w:val="20"/>
          <w:szCs w:val="20"/>
        </w:rPr>
        <w:t>year ended 31 March 202</w:t>
      </w:r>
      <w:r w:rsidR="00D62015">
        <w:rPr>
          <w:rStyle w:val="ads"/>
          <w:rFonts w:ascii="Arial" w:hAnsi="Arial" w:cs="Arial"/>
          <w:color w:val="000000"/>
          <w:sz w:val="20"/>
          <w:szCs w:val="20"/>
        </w:rPr>
        <w:t>4</w:t>
      </w:r>
      <w:r w:rsidR="00B826A5" w:rsidRPr="0077073D">
        <w:rPr>
          <w:rStyle w:val="ads"/>
          <w:rFonts w:ascii="Arial" w:hAnsi="Arial" w:cs="Arial"/>
          <w:color w:val="000000"/>
          <w:sz w:val="20"/>
          <w:szCs w:val="20"/>
        </w:rPr>
        <w:t xml:space="preserve"> (“</w:t>
      </w:r>
      <w:r w:rsidR="00B826A5" w:rsidRPr="00863469">
        <w:rPr>
          <w:rStyle w:val="ads"/>
          <w:rFonts w:ascii="Arial" w:hAnsi="Arial" w:cs="Arial"/>
          <w:b/>
          <w:bCs/>
          <w:color w:val="000000"/>
          <w:sz w:val="20"/>
          <w:szCs w:val="20"/>
        </w:rPr>
        <w:t>FY2</w:t>
      </w:r>
      <w:r w:rsidR="00D62015" w:rsidRPr="00863469">
        <w:rPr>
          <w:rStyle w:val="ads"/>
          <w:rFonts w:ascii="Arial" w:hAnsi="Arial" w:cs="Arial"/>
          <w:b/>
          <w:bCs/>
          <w:color w:val="000000"/>
          <w:sz w:val="20"/>
          <w:szCs w:val="20"/>
        </w:rPr>
        <w:t>4</w:t>
      </w:r>
      <w:r w:rsidR="00B826A5" w:rsidRPr="0077073D">
        <w:rPr>
          <w:rStyle w:val="ads"/>
          <w:rFonts w:ascii="Arial" w:hAnsi="Arial" w:cs="Arial"/>
          <w:color w:val="000000"/>
          <w:sz w:val="20"/>
          <w:szCs w:val="20"/>
        </w:rPr>
        <w:t xml:space="preserve">”). </w:t>
      </w:r>
    </w:p>
    <w:p w14:paraId="12D5D82E" w14:textId="6980FD7F" w:rsidR="008F2842" w:rsidRPr="0077073D" w:rsidRDefault="008F2842" w:rsidP="008F2842">
      <w:pPr>
        <w:spacing w:before="100" w:beforeAutospacing="1" w:after="100" w:afterAutospacing="1" w:line="240" w:lineRule="auto"/>
        <w:rPr>
          <w:rFonts w:ascii="Arial" w:eastAsia="Times New Roman" w:hAnsi="Arial" w:cs="Arial"/>
          <w:b/>
          <w:bCs/>
          <w:color w:val="000000"/>
          <w:sz w:val="20"/>
          <w:szCs w:val="20"/>
          <w:lang w:eastAsia="en-GB"/>
        </w:rPr>
      </w:pPr>
      <w:r w:rsidRPr="0077073D">
        <w:rPr>
          <w:rFonts w:ascii="Arial" w:eastAsia="Times New Roman" w:hAnsi="Arial" w:cs="Arial"/>
          <w:b/>
          <w:bCs/>
          <w:color w:val="000000"/>
          <w:sz w:val="20"/>
          <w:szCs w:val="20"/>
          <w:lang w:eastAsia="en-GB"/>
        </w:rPr>
        <w:t>Financial performance</w:t>
      </w:r>
      <w:r w:rsidR="00D62015">
        <w:rPr>
          <w:rFonts w:ascii="Arial" w:eastAsia="Times New Roman" w:hAnsi="Arial" w:cs="Arial"/>
          <w:b/>
          <w:bCs/>
          <w:color w:val="000000"/>
          <w:sz w:val="20"/>
          <w:szCs w:val="20"/>
          <w:lang w:eastAsia="en-GB"/>
        </w:rPr>
        <w:t xml:space="preserve"> of </w:t>
      </w:r>
      <w:r w:rsidR="00450C70">
        <w:rPr>
          <w:rFonts w:ascii="Arial" w:eastAsia="Times New Roman" w:hAnsi="Arial" w:cs="Arial"/>
          <w:b/>
          <w:bCs/>
          <w:color w:val="000000"/>
          <w:sz w:val="20"/>
          <w:szCs w:val="20"/>
          <w:lang w:eastAsia="en-GB"/>
        </w:rPr>
        <w:t xml:space="preserve">the </w:t>
      </w:r>
      <w:r w:rsidR="00012B8F">
        <w:rPr>
          <w:rFonts w:ascii="Arial" w:eastAsia="Times New Roman" w:hAnsi="Arial" w:cs="Arial"/>
          <w:b/>
          <w:bCs/>
          <w:color w:val="000000"/>
          <w:sz w:val="20"/>
          <w:szCs w:val="20"/>
          <w:lang w:eastAsia="en-GB"/>
        </w:rPr>
        <w:t>Group</w:t>
      </w:r>
    </w:p>
    <w:tbl>
      <w:tblPr>
        <w:tblW w:w="9750" w:type="dxa"/>
        <w:tblCellMar>
          <w:left w:w="0" w:type="dxa"/>
          <w:right w:w="0" w:type="dxa"/>
        </w:tblCellMar>
        <w:tblLook w:val="04A0" w:firstRow="1" w:lastRow="0" w:firstColumn="1" w:lastColumn="0" w:noHBand="0" w:noVBand="1"/>
      </w:tblPr>
      <w:tblGrid>
        <w:gridCol w:w="5556"/>
        <w:gridCol w:w="1360"/>
        <w:gridCol w:w="1551"/>
        <w:gridCol w:w="1283"/>
      </w:tblGrid>
      <w:tr w:rsidR="008074E7" w:rsidRPr="0077073D" w14:paraId="31F070CD" w14:textId="77777777" w:rsidTr="00863469">
        <w:trPr>
          <w:trHeight w:val="258"/>
        </w:trPr>
        <w:tc>
          <w:tcPr>
            <w:tcW w:w="5556" w:type="dxa"/>
            <w:tcBorders>
              <w:top w:val="nil"/>
              <w:left w:val="nil"/>
              <w:bottom w:val="single" w:sz="8" w:space="0" w:color="auto"/>
              <w:right w:val="nil"/>
            </w:tcBorders>
            <w:tcMar>
              <w:top w:w="0" w:type="dxa"/>
              <w:left w:w="108" w:type="dxa"/>
              <w:bottom w:w="0" w:type="dxa"/>
              <w:right w:w="108" w:type="dxa"/>
            </w:tcMar>
            <w:vAlign w:val="bottom"/>
            <w:hideMark/>
          </w:tcPr>
          <w:p w14:paraId="2ED873D0" w14:textId="213FAD18" w:rsidR="008F2842" w:rsidRPr="0077073D" w:rsidRDefault="008F2842" w:rsidP="00C6061D">
            <w:pPr>
              <w:spacing w:after="0" w:line="240" w:lineRule="auto"/>
              <w:rPr>
                <w:rFonts w:ascii="Arial" w:eastAsia="Times New Roman" w:hAnsi="Arial" w:cs="Arial"/>
                <w:b/>
                <w:bCs/>
                <w:sz w:val="20"/>
                <w:szCs w:val="20"/>
                <w:lang w:eastAsia="en-GB"/>
              </w:rPr>
            </w:pPr>
            <w:r w:rsidRPr="0077073D">
              <w:rPr>
                <w:rFonts w:ascii="Arial" w:eastAsia="Times New Roman" w:hAnsi="Arial" w:cs="Arial"/>
                <w:b/>
                <w:bCs/>
                <w:sz w:val="20"/>
                <w:szCs w:val="20"/>
                <w:lang w:eastAsia="en-GB"/>
              </w:rPr>
              <w:t xml:space="preserve">ADJUSTED RESULTS </w:t>
            </w:r>
            <w:r w:rsidR="00C55910">
              <w:rPr>
                <w:rFonts w:ascii="Arial" w:eastAsia="Times New Roman" w:hAnsi="Arial" w:cs="Arial"/>
                <w:b/>
                <w:bCs/>
                <w:sz w:val="20"/>
                <w:szCs w:val="20"/>
                <w:lang w:eastAsia="en-GB"/>
              </w:rPr>
              <w:t>-</w:t>
            </w:r>
            <w:r w:rsidR="00C55910">
              <w:rPr>
                <w:rFonts w:eastAsia="Times New Roman"/>
                <w:b/>
                <w:bCs/>
                <w:lang w:eastAsia="en-GB"/>
              </w:rPr>
              <w:t xml:space="preserve"> GROUP</w:t>
            </w:r>
          </w:p>
        </w:tc>
        <w:tc>
          <w:tcPr>
            <w:tcW w:w="1360" w:type="dxa"/>
            <w:tcBorders>
              <w:top w:val="nil"/>
              <w:left w:val="nil"/>
              <w:bottom w:val="single" w:sz="8" w:space="0" w:color="auto"/>
              <w:right w:val="nil"/>
            </w:tcBorders>
            <w:tcMar>
              <w:top w:w="0" w:type="dxa"/>
              <w:left w:w="108" w:type="dxa"/>
              <w:bottom w:w="0" w:type="dxa"/>
              <w:right w:w="108" w:type="dxa"/>
            </w:tcMar>
            <w:vAlign w:val="bottom"/>
            <w:hideMark/>
          </w:tcPr>
          <w:p w14:paraId="40DFCC1A" w14:textId="2FA65B93" w:rsidR="008F2842" w:rsidRPr="00D62015" w:rsidRDefault="00D62015" w:rsidP="00C6061D">
            <w:pPr>
              <w:spacing w:after="0" w:line="240" w:lineRule="auto"/>
              <w:rPr>
                <w:rFonts w:ascii="Arial" w:eastAsia="Times New Roman" w:hAnsi="Arial" w:cs="Arial"/>
                <w:b/>
                <w:bCs/>
                <w:sz w:val="20"/>
                <w:szCs w:val="20"/>
                <w:lang w:eastAsia="en-GB"/>
              </w:rPr>
            </w:pPr>
            <w:r w:rsidRPr="00D62015">
              <w:rPr>
                <w:rFonts w:ascii="Arial" w:eastAsia="Times New Roman" w:hAnsi="Arial" w:cs="Arial"/>
                <w:b/>
                <w:bCs/>
                <w:sz w:val="20"/>
                <w:szCs w:val="20"/>
                <w:lang w:eastAsia="en-GB"/>
              </w:rPr>
              <w:t>FY24</w:t>
            </w:r>
          </w:p>
        </w:tc>
        <w:tc>
          <w:tcPr>
            <w:tcW w:w="1551" w:type="dxa"/>
            <w:tcBorders>
              <w:top w:val="nil"/>
              <w:left w:val="nil"/>
              <w:bottom w:val="single" w:sz="8" w:space="0" w:color="auto"/>
              <w:right w:val="nil"/>
            </w:tcBorders>
            <w:tcMar>
              <w:top w:w="0" w:type="dxa"/>
              <w:left w:w="108" w:type="dxa"/>
              <w:bottom w:w="0" w:type="dxa"/>
              <w:right w:w="108" w:type="dxa"/>
            </w:tcMar>
            <w:vAlign w:val="bottom"/>
            <w:hideMark/>
          </w:tcPr>
          <w:p w14:paraId="64A5DD9B" w14:textId="26BE2A16" w:rsidR="008F2842" w:rsidRPr="00D62015" w:rsidRDefault="00D62015" w:rsidP="00C6061D">
            <w:pPr>
              <w:spacing w:after="0" w:line="240" w:lineRule="auto"/>
              <w:rPr>
                <w:rFonts w:ascii="Arial" w:eastAsia="Times New Roman" w:hAnsi="Arial" w:cs="Arial"/>
                <w:b/>
                <w:bCs/>
                <w:sz w:val="20"/>
                <w:szCs w:val="20"/>
                <w:lang w:eastAsia="en-GB"/>
              </w:rPr>
            </w:pPr>
            <w:r w:rsidRPr="00D62015">
              <w:rPr>
                <w:rFonts w:ascii="Arial" w:eastAsia="Times New Roman" w:hAnsi="Arial" w:cs="Arial"/>
                <w:b/>
                <w:bCs/>
                <w:sz w:val="20"/>
                <w:szCs w:val="20"/>
                <w:lang w:eastAsia="en-GB"/>
              </w:rPr>
              <w:t>FY23</w:t>
            </w:r>
          </w:p>
        </w:tc>
        <w:tc>
          <w:tcPr>
            <w:tcW w:w="1283" w:type="dxa"/>
            <w:tcBorders>
              <w:top w:val="nil"/>
              <w:left w:val="nil"/>
              <w:bottom w:val="single" w:sz="8" w:space="0" w:color="auto"/>
              <w:right w:val="nil"/>
            </w:tcBorders>
            <w:tcMar>
              <w:top w:w="0" w:type="dxa"/>
              <w:left w:w="108" w:type="dxa"/>
              <w:bottom w:w="0" w:type="dxa"/>
              <w:right w:w="108" w:type="dxa"/>
            </w:tcMar>
            <w:vAlign w:val="bottom"/>
            <w:hideMark/>
          </w:tcPr>
          <w:p w14:paraId="4A336D2F" w14:textId="49E2C34C" w:rsidR="008F2842" w:rsidRPr="0077073D" w:rsidRDefault="00CD5D4E" w:rsidP="00C6061D">
            <w:pPr>
              <w:spacing w:after="0" w:line="240" w:lineRule="auto"/>
              <w:rPr>
                <w:rFonts w:ascii="Arial" w:eastAsia="Times New Roman" w:hAnsi="Arial" w:cs="Arial"/>
                <w:b/>
                <w:bCs/>
                <w:sz w:val="20"/>
                <w:szCs w:val="20"/>
                <w:lang w:eastAsia="en-GB"/>
              </w:rPr>
            </w:pPr>
            <w:r w:rsidRPr="0077073D">
              <w:rPr>
                <w:rFonts w:ascii="Arial" w:eastAsia="Times New Roman" w:hAnsi="Arial" w:cs="Arial"/>
                <w:b/>
                <w:bCs/>
                <w:sz w:val="20"/>
                <w:szCs w:val="20"/>
                <w:lang w:eastAsia="en-GB"/>
              </w:rPr>
              <w:t>Change</w:t>
            </w:r>
          </w:p>
        </w:tc>
      </w:tr>
      <w:tr w:rsidR="008074E7" w:rsidRPr="0077073D" w14:paraId="132975CB" w14:textId="77777777" w:rsidTr="00863469">
        <w:trPr>
          <w:trHeight w:val="258"/>
        </w:trPr>
        <w:tc>
          <w:tcPr>
            <w:tcW w:w="5556" w:type="dxa"/>
            <w:tcMar>
              <w:top w:w="0" w:type="dxa"/>
              <w:left w:w="108" w:type="dxa"/>
              <w:bottom w:w="0" w:type="dxa"/>
              <w:right w:w="108" w:type="dxa"/>
            </w:tcMar>
            <w:vAlign w:val="center"/>
            <w:hideMark/>
          </w:tcPr>
          <w:p w14:paraId="7024424F" w14:textId="77777777" w:rsidR="008F2842" w:rsidRPr="0077073D" w:rsidRDefault="008F2842" w:rsidP="00C6061D">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360" w:type="dxa"/>
            <w:tcMar>
              <w:top w:w="0" w:type="dxa"/>
              <w:left w:w="108" w:type="dxa"/>
              <w:bottom w:w="0" w:type="dxa"/>
              <w:right w:w="108" w:type="dxa"/>
            </w:tcMar>
            <w:vAlign w:val="center"/>
            <w:hideMark/>
          </w:tcPr>
          <w:p w14:paraId="3A10C8BC" w14:textId="77777777" w:rsidR="008F2842" w:rsidRPr="0077073D" w:rsidRDefault="008F2842" w:rsidP="00C6061D">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551" w:type="dxa"/>
            <w:tcMar>
              <w:top w:w="0" w:type="dxa"/>
              <w:left w:w="108" w:type="dxa"/>
              <w:bottom w:w="0" w:type="dxa"/>
              <w:right w:w="108" w:type="dxa"/>
            </w:tcMar>
            <w:vAlign w:val="center"/>
            <w:hideMark/>
          </w:tcPr>
          <w:p w14:paraId="30F1ADD6" w14:textId="77777777" w:rsidR="008F2842" w:rsidRPr="0077073D" w:rsidRDefault="008F2842" w:rsidP="00C6061D">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283" w:type="dxa"/>
            <w:tcMar>
              <w:top w:w="0" w:type="dxa"/>
              <w:left w:w="108" w:type="dxa"/>
              <w:bottom w:w="0" w:type="dxa"/>
              <w:right w:w="108" w:type="dxa"/>
            </w:tcMar>
            <w:vAlign w:val="center"/>
            <w:hideMark/>
          </w:tcPr>
          <w:p w14:paraId="42A6C6E7" w14:textId="77777777" w:rsidR="008F2842" w:rsidRPr="0077073D" w:rsidRDefault="008F2842" w:rsidP="00C6061D">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r>
      <w:tr w:rsidR="008074E7" w:rsidRPr="0077073D" w14:paraId="72C18F95" w14:textId="77777777" w:rsidTr="00863469">
        <w:trPr>
          <w:trHeight w:val="255"/>
        </w:trPr>
        <w:tc>
          <w:tcPr>
            <w:tcW w:w="5556" w:type="dxa"/>
            <w:tcMar>
              <w:top w:w="0" w:type="dxa"/>
              <w:left w:w="108" w:type="dxa"/>
              <w:bottom w:w="0" w:type="dxa"/>
              <w:right w:w="108" w:type="dxa"/>
            </w:tcMar>
            <w:vAlign w:val="center"/>
            <w:hideMark/>
          </w:tcPr>
          <w:p w14:paraId="3898B979" w14:textId="77777777" w:rsidR="008F2842" w:rsidRPr="0077073D" w:rsidRDefault="008F2842" w:rsidP="00C6061D">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Revenue</w:t>
            </w:r>
          </w:p>
        </w:tc>
        <w:tc>
          <w:tcPr>
            <w:tcW w:w="1360" w:type="dxa"/>
            <w:tcMar>
              <w:top w:w="0" w:type="dxa"/>
              <w:left w:w="108" w:type="dxa"/>
              <w:bottom w:w="0" w:type="dxa"/>
              <w:right w:w="108" w:type="dxa"/>
            </w:tcMar>
            <w:vAlign w:val="center"/>
          </w:tcPr>
          <w:p w14:paraId="561030CC" w14:textId="06AC99F1" w:rsidR="008F2842" w:rsidRPr="0077073D" w:rsidRDefault="000438D7" w:rsidP="00C6061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8074E7">
              <w:rPr>
                <w:rFonts w:ascii="Arial" w:eastAsia="Times New Roman" w:hAnsi="Arial" w:cs="Arial"/>
                <w:sz w:val="20"/>
                <w:szCs w:val="20"/>
                <w:lang w:eastAsia="en-GB"/>
              </w:rPr>
              <w:t>50</w:t>
            </w:r>
            <w:r w:rsidR="00AA748B">
              <w:rPr>
                <w:rFonts w:ascii="Arial" w:eastAsia="Times New Roman" w:hAnsi="Arial" w:cs="Arial"/>
                <w:sz w:val="20"/>
                <w:szCs w:val="20"/>
                <w:lang w:eastAsia="en-GB"/>
              </w:rPr>
              <w:t>3.</w:t>
            </w:r>
            <w:r w:rsidR="008074E7">
              <w:rPr>
                <w:rFonts w:ascii="Arial" w:eastAsia="Times New Roman" w:hAnsi="Arial" w:cs="Arial"/>
                <w:sz w:val="20"/>
                <w:szCs w:val="20"/>
                <w:lang w:eastAsia="en-GB"/>
              </w:rPr>
              <w:t>2</w:t>
            </w:r>
            <w:r>
              <w:rPr>
                <w:rFonts w:ascii="Arial" w:eastAsia="Times New Roman" w:hAnsi="Arial" w:cs="Arial"/>
                <w:sz w:val="20"/>
                <w:szCs w:val="20"/>
                <w:lang w:eastAsia="en-GB"/>
              </w:rPr>
              <w:t>m</w:t>
            </w:r>
          </w:p>
        </w:tc>
        <w:tc>
          <w:tcPr>
            <w:tcW w:w="1551" w:type="dxa"/>
            <w:tcMar>
              <w:top w:w="0" w:type="dxa"/>
              <w:left w:w="108" w:type="dxa"/>
              <w:bottom w:w="0" w:type="dxa"/>
              <w:right w:w="108" w:type="dxa"/>
            </w:tcMar>
            <w:vAlign w:val="center"/>
          </w:tcPr>
          <w:p w14:paraId="462CD3C8" w14:textId="269A6F2B" w:rsidR="008F2842" w:rsidRPr="0077073D" w:rsidRDefault="000438D7" w:rsidP="00C6061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8074E7">
              <w:rPr>
                <w:rFonts w:ascii="Arial" w:eastAsia="Times New Roman" w:hAnsi="Arial" w:cs="Arial"/>
                <w:sz w:val="20"/>
                <w:szCs w:val="20"/>
                <w:lang w:eastAsia="en-GB"/>
              </w:rPr>
              <w:t>465.7</w:t>
            </w:r>
            <w:r>
              <w:rPr>
                <w:rFonts w:ascii="Arial" w:eastAsia="Times New Roman" w:hAnsi="Arial" w:cs="Arial"/>
                <w:sz w:val="20"/>
                <w:szCs w:val="20"/>
                <w:lang w:eastAsia="en-GB"/>
              </w:rPr>
              <w:t>m</w:t>
            </w:r>
          </w:p>
        </w:tc>
        <w:tc>
          <w:tcPr>
            <w:tcW w:w="1283" w:type="dxa"/>
            <w:tcMar>
              <w:top w:w="0" w:type="dxa"/>
              <w:left w:w="108" w:type="dxa"/>
              <w:bottom w:w="0" w:type="dxa"/>
              <w:right w:w="108" w:type="dxa"/>
            </w:tcMar>
            <w:vAlign w:val="center"/>
          </w:tcPr>
          <w:p w14:paraId="40C5790C" w14:textId="0DA79C71" w:rsidR="008F2842" w:rsidRPr="0077073D" w:rsidRDefault="008074E7" w:rsidP="00032CC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0A0B54" w:rsidRPr="0077073D" w14:paraId="367EF86E" w14:textId="77777777" w:rsidTr="00863469">
        <w:trPr>
          <w:trHeight w:val="255"/>
        </w:trPr>
        <w:tc>
          <w:tcPr>
            <w:tcW w:w="5556" w:type="dxa"/>
            <w:tcMar>
              <w:top w:w="0" w:type="dxa"/>
              <w:left w:w="108" w:type="dxa"/>
              <w:bottom w:w="0" w:type="dxa"/>
              <w:right w:w="108" w:type="dxa"/>
            </w:tcMar>
            <w:vAlign w:val="center"/>
          </w:tcPr>
          <w:p w14:paraId="5DB683E2" w14:textId="78FCFB90" w:rsidR="000A0B54" w:rsidRPr="0077073D" w:rsidRDefault="000A0B54" w:rsidP="00C6061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Operating profit</w:t>
            </w:r>
            <w:r w:rsidR="00C5315A" w:rsidRPr="0077073D">
              <w:rPr>
                <w:rFonts w:ascii="Arial" w:eastAsia="Times New Roman" w:hAnsi="Arial" w:cs="Arial"/>
                <w:sz w:val="20"/>
                <w:szCs w:val="20"/>
                <w:vertAlign w:val="superscript"/>
                <w:lang w:eastAsia="en-GB"/>
              </w:rPr>
              <w:t>2</w:t>
            </w:r>
          </w:p>
        </w:tc>
        <w:tc>
          <w:tcPr>
            <w:tcW w:w="1360" w:type="dxa"/>
            <w:tcMar>
              <w:top w:w="0" w:type="dxa"/>
              <w:left w:w="108" w:type="dxa"/>
              <w:bottom w:w="0" w:type="dxa"/>
              <w:right w:w="108" w:type="dxa"/>
            </w:tcMar>
            <w:vAlign w:val="center"/>
          </w:tcPr>
          <w:p w14:paraId="3DEE4CC5" w14:textId="3FADC519" w:rsidR="000A0B54" w:rsidRDefault="000A0B54" w:rsidP="00C6061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£65.4m</w:t>
            </w:r>
          </w:p>
        </w:tc>
        <w:tc>
          <w:tcPr>
            <w:tcW w:w="1551" w:type="dxa"/>
            <w:tcMar>
              <w:top w:w="0" w:type="dxa"/>
              <w:left w:w="108" w:type="dxa"/>
              <w:bottom w:w="0" w:type="dxa"/>
              <w:right w:w="108" w:type="dxa"/>
            </w:tcMar>
            <w:vAlign w:val="center"/>
          </w:tcPr>
          <w:p w14:paraId="7A03E8F8" w14:textId="02541DBA" w:rsidR="000A0B54" w:rsidRDefault="000A0B54" w:rsidP="00C6061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£64.3m</w:t>
            </w:r>
          </w:p>
        </w:tc>
        <w:tc>
          <w:tcPr>
            <w:tcW w:w="1283" w:type="dxa"/>
            <w:tcMar>
              <w:top w:w="0" w:type="dxa"/>
              <w:left w:w="108" w:type="dxa"/>
              <w:bottom w:w="0" w:type="dxa"/>
              <w:right w:w="108" w:type="dxa"/>
            </w:tcMar>
            <w:vAlign w:val="center"/>
          </w:tcPr>
          <w:p w14:paraId="030D7645" w14:textId="0365DDDF" w:rsidR="000A0B54" w:rsidRDefault="00C5315A" w:rsidP="00032CC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8074E7" w:rsidRPr="0077073D" w14:paraId="2F3EFE22" w14:textId="77777777" w:rsidTr="00863469">
        <w:trPr>
          <w:trHeight w:val="255"/>
        </w:trPr>
        <w:tc>
          <w:tcPr>
            <w:tcW w:w="5556" w:type="dxa"/>
            <w:tcMar>
              <w:top w:w="0" w:type="dxa"/>
              <w:left w:w="108" w:type="dxa"/>
              <w:bottom w:w="0" w:type="dxa"/>
              <w:right w:w="108" w:type="dxa"/>
            </w:tcMar>
            <w:vAlign w:val="center"/>
            <w:hideMark/>
          </w:tcPr>
          <w:p w14:paraId="5F827D2E" w14:textId="77777777" w:rsidR="00574B7B" w:rsidRPr="0077073D" w:rsidRDefault="00574B7B" w:rsidP="00574B7B">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Profit before tax</w:t>
            </w:r>
            <w:r w:rsidRPr="0077073D">
              <w:rPr>
                <w:rFonts w:ascii="Arial" w:eastAsia="Times New Roman" w:hAnsi="Arial" w:cs="Arial"/>
                <w:sz w:val="20"/>
                <w:szCs w:val="20"/>
                <w:vertAlign w:val="superscript"/>
                <w:lang w:eastAsia="en-GB"/>
              </w:rPr>
              <w:t>2</w:t>
            </w:r>
          </w:p>
        </w:tc>
        <w:tc>
          <w:tcPr>
            <w:tcW w:w="1360" w:type="dxa"/>
            <w:tcMar>
              <w:top w:w="0" w:type="dxa"/>
              <w:left w:w="108" w:type="dxa"/>
              <w:bottom w:w="0" w:type="dxa"/>
              <w:right w:w="108" w:type="dxa"/>
            </w:tcMar>
            <w:vAlign w:val="center"/>
          </w:tcPr>
          <w:p w14:paraId="2C092BC0" w14:textId="72294A07" w:rsidR="00574B7B" w:rsidRPr="0077073D" w:rsidRDefault="000438D7" w:rsidP="00574B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8074E7">
              <w:rPr>
                <w:rFonts w:ascii="Arial" w:eastAsia="Times New Roman" w:hAnsi="Arial" w:cs="Arial"/>
                <w:sz w:val="20"/>
                <w:szCs w:val="20"/>
                <w:lang w:eastAsia="en-GB"/>
              </w:rPr>
              <w:t>46.8</w:t>
            </w:r>
            <w:r>
              <w:rPr>
                <w:rFonts w:ascii="Arial" w:eastAsia="Times New Roman" w:hAnsi="Arial" w:cs="Arial"/>
                <w:sz w:val="20"/>
                <w:szCs w:val="20"/>
                <w:lang w:eastAsia="en-GB"/>
              </w:rPr>
              <w:t>m</w:t>
            </w:r>
          </w:p>
        </w:tc>
        <w:tc>
          <w:tcPr>
            <w:tcW w:w="1551" w:type="dxa"/>
            <w:tcMar>
              <w:top w:w="0" w:type="dxa"/>
              <w:left w:w="108" w:type="dxa"/>
              <w:bottom w:w="0" w:type="dxa"/>
              <w:right w:w="108" w:type="dxa"/>
            </w:tcMar>
            <w:vAlign w:val="center"/>
          </w:tcPr>
          <w:p w14:paraId="76E0221D" w14:textId="3509EA7A" w:rsidR="00574B7B" w:rsidRPr="0077073D" w:rsidRDefault="008074E7" w:rsidP="00574B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£53.6m</w:t>
            </w:r>
          </w:p>
        </w:tc>
        <w:tc>
          <w:tcPr>
            <w:tcW w:w="1283" w:type="dxa"/>
            <w:tcMar>
              <w:top w:w="0" w:type="dxa"/>
              <w:left w:w="108" w:type="dxa"/>
              <w:bottom w:w="0" w:type="dxa"/>
              <w:right w:w="108" w:type="dxa"/>
            </w:tcMar>
            <w:vAlign w:val="center"/>
          </w:tcPr>
          <w:p w14:paraId="0F89A9AD" w14:textId="58750E94" w:rsidR="00574B7B" w:rsidRPr="0077073D" w:rsidRDefault="008074E7" w:rsidP="00574B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gramStart"/>
            <w:r>
              <w:rPr>
                <w:rFonts w:ascii="Arial" w:eastAsia="Times New Roman" w:hAnsi="Arial" w:cs="Arial"/>
                <w:sz w:val="20"/>
                <w:szCs w:val="20"/>
                <w:lang w:eastAsia="en-GB"/>
              </w:rPr>
              <w:t>13)%</w:t>
            </w:r>
            <w:proofErr w:type="gramEnd"/>
          </w:p>
        </w:tc>
      </w:tr>
      <w:tr w:rsidR="008074E7" w:rsidRPr="0077073D" w14:paraId="6DADBFD3" w14:textId="77777777" w:rsidTr="00863469">
        <w:trPr>
          <w:trHeight w:val="255"/>
        </w:trPr>
        <w:tc>
          <w:tcPr>
            <w:tcW w:w="5556" w:type="dxa"/>
            <w:tcMar>
              <w:top w:w="0" w:type="dxa"/>
              <w:left w:w="108" w:type="dxa"/>
              <w:bottom w:w="0" w:type="dxa"/>
              <w:right w:w="108" w:type="dxa"/>
            </w:tcMar>
            <w:vAlign w:val="center"/>
            <w:hideMark/>
          </w:tcPr>
          <w:p w14:paraId="1EA81F3E" w14:textId="77777777" w:rsidR="00574B7B" w:rsidRPr="0077073D" w:rsidRDefault="00574B7B" w:rsidP="00574B7B">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Earnings per share – basic</w:t>
            </w:r>
            <w:r w:rsidRPr="0077073D">
              <w:rPr>
                <w:rFonts w:ascii="Arial" w:eastAsia="Times New Roman" w:hAnsi="Arial" w:cs="Arial"/>
                <w:sz w:val="20"/>
                <w:szCs w:val="20"/>
                <w:vertAlign w:val="superscript"/>
                <w:lang w:eastAsia="en-GB"/>
              </w:rPr>
              <w:t>2</w:t>
            </w:r>
          </w:p>
        </w:tc>
        <w:tc>
          <w:tcPr>
            <w:tcW w:w="1360" w:type="dxa"/>
            <w:tcMar>
              <w:top w:w="0" w:type="dxa"/>
              <w:left w:w="108" w:type="dxa"/>
              <w:bottom w:w="0" w:type="dxa"/>
              <w:right w:w="108" w:type="dxa"/>
            </w:tcMar>
            <w:vAlign w:val="center"/>
          </w:tcPr>
          <w:p w14:paraId="32C34C8A" w14:textId="1DBD2FD1" w:rsidR="00574B7B" w:rsidRPr="0077073D" w:rsidRDefault="008074E7" w:rsidP="00574B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36.4p</w:t>
            </w:r>
          </w:p>
        </w:tc>
        <w:tc>
          <w:tcPr>
            <w:tcW w:w="1551" w:type="dxa"/>
            <w:tcMar>
              <w:top w:w="0" w:type="dxa"/>
              <w:left w:w="108" w:type="dxa"/>
              <w:bottom w:w="0" w:type="dxa"/>
              <w:right w:w="108" w:type="dxa"/>
            </w:tcMar>
            <w:vAlign w:val="center"/>
          </w:tcPr>
          <w:p w14:paraId="095C1AC2" w14:textId="7DE0158D" w:rsidR="00574B7B" w:rsidRPr="0077073D" w:rsidRDefault="008074E7" w:rsidP="00574B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45.3p</w:t>
            </w:r>
          </w:p>
        </w:tc>
        <w:tc>
          <w:tcPr>
            <w:tcW w:w="1283" w:type="dxa"/>
            <w:tcMar>
              <w:top w:w="0" w:type="dxa"/>
              <w:left w:w="108" w:type="dxa"/>
              <w:bottom w:w="0" w:type="dxa"/>
              <w:right w:w="108" w:type="dxa"/>
            </w:tcMar>
            <w:vAlign w:val="center"/>
          </w:tcPr>
          <w:p w14:paraId="2D7B490A" w14:textId="18A7BE02" w:rsidR="00574B7B" w:rsidRPr="0077073D" w:rsidRDefault="008074E7" w:rsidP="00574B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gramStart"/>
            <w:r>
              <w:rPr>
                <w:rFonts w:ascii="Arial" w:eastAsia="Times New Roman" w:hAnsi="Arial" w:cs="Arial"/>
                <w:sz w:val="20"/>
                <w:szCs w:val="20"/>
                <w:lang w:eastAsia="en-GB"/>
              </w:rPr>
              <w:t>20)%</w:t>
            </w:r>
            <w:proofErr w:type="gramEnd"/>
          </w:p>
        </w:tc>
      </w:tr>
      <w:tr w:rsidR="008074E7" w:rsidRPr="0077073D" w14:paraId="5DDD327E" w14:textId="77777777" w:rsidTr="00863469">
        <w:trPr>
          <w:trHeight w:val="255"/>
        </w:trPr>
        <w:tc>
          <w:tcPr>
            <w:tcW w:w="5556" w:type="dxa"/>
            <w:tcMar>
              <w:top w:w="0" w:type="dxa"/>
              <w:left w:w="108" w:type="dxa"/>
              <w:bottom w:w="0" w:type="dxa"/>
              <w:right w:w="108" w:type="dxa"/>
            </w:tcMar>
            <w:vAlign w:val="center"/>
            <w:hideMark/>
          </w:tcPr>
          <w:p w14:paraId="3DA4EE86" w14:textId="77777777" w:rsidR="00574B7B" w:rsidRPr="0077073D" w:rsidRDefault="00574B7B" w:rsidP="00574B7B">
            <w:pPr>
              <w:spacing w:after="0" w:line="240" w:lineRule="auto"/>
              <w:rPr>
                <w:rFonts w:ascii="Arial" w:eastAsia="Times New Roman" w:hAnsi="Arial" w:cs="Arial"/>
                <w:sz w:val="20"/>
                <w:szCs w:val="20"/>
                <w:lang w:eastAsia="en-GB"/>
              </w:rPr>
            </w:pPr>
          </w:p>
        </w:tc>
        <w:tc>
          <w:tcPr>
            <w:tcW w:w="1360" w:type="dxa"/>
            <w:tcMar>
              <w:top w:w="0" w:type="dxa"/>
              <w:left w:w="108" w:type="dxa"/>
              <w:bottom w:w="0" w:type="dxa"/>
              <w:right w:w="108" w:type="dxa"/>
            </w:tcMar>
            <w:vAlign w:val="center"/>
          </w:tcPr>
          <w:p w14:paraId="7B5F61AB" w14:textId="77777777" w:rsidR="00574B7B" w:rsidRPr="0077073D" w:rsidRDefault="00574B7B" w:rsidP="00574B7B">
            <w:pPr>
              <w:spacing w:after="0" w:line="240" w:lineRule="auto"/>
              <w:rPr>
                <w:rFonts w:ascii="Arial" w:eastAsia="Times New Roman" w:hAnsi="Arial" w:cs="Arial"/>
                <w:sz w:val="20"/>
                <w:szCs w:val="20"/>
                <w:lang w:eastAsia="en-GB"/>
              </w:rPr>
            </w:pPr>
          </w:p>
        </w:tc>
        <w:tc>
          <w:tcPr>
            <w:tcW w:w="1551" w:type="dxa"/>
            <w:tcMar>
              <w:top w:w="0" w:type="dxa"/>
              <w:left w:w="108" w:type="dxa"/>
              <w:bottom w:w="0" w:type="dxa"/>
              <w:right w:w="108" w:type="dxa"/>
            </w:tcMar>
            <w:vAlign w:val="center"/>
          </w:tcPr>
          <w:p w14:paraId="1532D8E8" w14:textId="77777777" w:rsidR="00574B7B" w:rsidRPr="0077073D" w:rsidRDefault="00574B7B" w:rsidP="00574B7B">
            <w:pPr>
              <w:spacing w:after="0" w:line="240" w:lineRule="auto"/>
              <w:rPr>
                <w:rFonts w:ascii="Arial" w:eastAsia="Times New Roman" w:hAnsi="Arial" w:cs="Arial"/>
                <w:sz w:val="20"/>
                <w:szCs w:val="20"/>
                <w:lang w:eastAsia="en-GB"/>
              </w:rPr>
            </w:pPr>
          </w:p>
        </w:tc>
        <w:tc>
          <w:tcPr>
            <w:tcW w:w="1283" w:type="dxa"/>
            <w:tcMar>
              <w:top w:w="0" w:type="dxa"/>
              <w:left w:w="108" w:type="dxa"/>
              <w:bottom w:w="0" w:type="dxa"/>
              <w:right w:w="108" w:type="dxa"/>
            </w:tcMar>
            <w:vAlign w:val="center"/>
          </w:tcPr>
          <w:p w14:paraId="5AB7F274" w14:textId="77777777" w:rsidR="00574B7B" w:rsidRPr="0077073D" w:rsidRDefault="00574B7B" w:rsidP="00574B7B">
            <w:pPr>
              <w:spacing w:after="0" w:line="240" w:lineRule="auto"/>
              <w:jc w:val="right"/>
              <w:rPr>
                <w:rFonts w:ascii="Arial" w:eastAsia="Times New Roman" w:hAnsi="Arial" w:cs="Arial"/>
                <w:sz w:val="20"/>
                <w:szCs w:val="20"/>
                <w:lang w:eastAsia="en-GB"/>
              </w:rPr>
            </w:pPr>
          </w:p>
        </w:tc>
      </w:tr>
      <w:tr w:rsidR="008074E7" w:rsidRPr="0077073D" w14:paraId="7D7E7170" w14:textId="77777777" w:rsidTr="00863469">
        <w:trPr>
          <w:trHeight w:val="283"/>
        </w:trPr>
        <w:tc>
          <w:tcPr>
            <w:tcW w:w="5556" w:type="dxa"/>
            <w:tcBorders>
              <w:bottom w:val="single" w:sz="4" w:space="0" w:color="auto"/>
            </w:tcBorders>
            <w:tcMar>
              <w:top w:w="0" w:type="dxa"/>
              <w:left w:w="108" w:type="dxa"/>
              <w:bottom w:w="0" w:type="dxa"/>
              <w:right w:w="108" w:type="dxa"/>
            </w:tcMar>
            <w:vAlign w:val="center"/>
            <w:hideMark/>
          </w:tcPr>
          <w:p w14:paraId="09E6EA43" w14:textId="5E002BDD" w:rsidR="00574B7B" w:rsidRPr="0077073D" w:rsidRDefault="00574B7B" w:rsidP="00574B7B">
            <w:pPr>
              <w:spacing w:after="0" w:line="240" w:lineRule="auto"/>
              <w:rPr>
                <w:rFonts w:ascii="Arial" w:eastAsia="Times New Roman" w:hAnsi="Arial" w:cs="Arial"/>
                <w:sz w:val="20"/>
                <w:szCs w:val="20"/>
                <w:vertAlign w:val="superscript"/>
                <w:lang w:eastAsia="en-GB"/>
              </w:rPr>
            </w:pPr>
            <w:r w:rsidRPr="0077073D">
              <w:rPr>
                <w:rFonts w:ascii="Arial" w:eastAsia="Times New Roman" w:hAnsi="Arial" w:cs="Arial"/>
                <w:sz w:val="20"/>
                <w:szCs w:val="20"/>
                <w:lang w:eastAsia="en-GB"/>
              </w:rPr>
              <w:t xml:space="preserve">Net </w:t>
            </w:r>
            <w:r w:rsidR="00FB6FC5" w:rsidRPr="0077073D">
              <w:rPr>
                <w:rFonts w:ascii="Arial" w:eastAsia="Times New Roman" w:hAnsi="Arial" w:cs="Arial"/>
                <w:sz w:val="20"/>
                <w:szCs w:val="20"/>
                <w:lang w:eastAsia="en-GB"/>
              </w:rPr>
              <w:t>debt</w:t>
            </w:r>
            <w:r w:rsidR="0074232F" w:rsidRPr="0077073D">
              <w:rPr>
                <w:rFonts w:ascii="Arial" w:eastAsia="Times New Roman" w:hAnsi="Arial" w:cs="Arial"/>
                <w:sz w:val="20"/>
                <w:szCs w:val="20"/>
                <w:lang w:eastAsia="en-GB"/>
              </w:rPr>
              <w:t xml:space="preserve"> (excluding lease</w:t>
            </w:r>
            <w:r w:rsidR="00AD2304" w:rsidRPr="0077073D">
              <w:rPr>
                <w:rFonts w:ascii="Arial" w:eastAsia="Times New Roman" w:hAnsi="Arial" w:cs="Arial"/>
                <w:sz w:val="20"/>
                <w:szCs w:val="20"/>
                <w:lang w:eastAsia="en-GB"/>
              </w:rPr>
              <w:t xml:space="preserve"> liabilities</w:t>
            </w:r>
            <w:r w:rsidR="0074232F" w:rsidRPr="0077073D">
              <w:rPr>
                <w:rFonts w:ascii="Arial" w:eastAsia="Times New Roman" w:hAnsi="Arial" w:cs="Arial"/>
                <w:sz w:val="20"/>
                <w:szCs w:val="20"/>
                <w:lang w:eastAsia="en-GB"/>
              </w:rPr>
              <w:t>)</w:t>
            </w:r>
          </w:p>
          <w:p w14:paraId="7AB5C1AF" w14:textId="77777777" w:rsidR="00574B7B" w:rsidRPr="0077073D" w:rsidRDefault="00574B7B" w:rsidP="00574B7B">
            <w:pPr>
              <w:spacing w:after="0" w:line="240" w:lineRule="auto"/>
              <w:rPr>
                <w:rFonts w:ascii="Arial" w:eastAsia="Times New Roman" w:hAnsi="Arial" w:cs="Arial"/>
                <w:sz w:val="20"/>
                <w:szCs w:val="20"/>
                <w:lang w:eastAsia="en-GB"/>
              </w:rPr>
            </w:pPr>
          </w:p>
        </w:tc>
        <w:tc>
          <w:tcPr>
            <w:tcW w:w="1360" w:type="dxa"/>
            <w:tcBorders>
              <w:bottom w:val="single" w:sz="4" w:space="0" w:color="auto"/>
            </w:tcBorders>
            <w:tcMar>
              <w:top w:w="0" w:type="dxa"/>
              <w:left w:w="108" w:type="dxa"/>
              <w:bottom w:w="0" w:type="dxa"/>
              <w:right w:w="108" w:type="dxa"/>
            </w:tcMar>
            <w:vAlign w:val="center"/>
          </w:tcPr>
          <w:p w14:paraId="29D4635E" w14:textId="02FAD89B" w:rsidR="00574B7B" w:rsidRPr="0077073D" w:rsidRDefault="008F5B35" w:rsidP="00574B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AB4AF0">
              <w:rPr>
                <w:rFonts w:ascii="Arial" w:eastAsia="Times New Roman" w:hAnsi="Arial" w:cs="Arial"/>
                <w:sz w:val="20"/>
                <w:szCs w:val="20"/>
                <w:lang w:eastAsia="en-GB"/>
              </w:rPr>
              <w:t>176.6</w:t>
            </w:r>
            <w:r>
              <w:rPr>
                <w:rFonts w:ascii="Arial" w:eastAsia="Times New Roman" w:hAnsi="Arial" w:cs="Arial"/>
                <w:sz w:val="20"/>
                <w:szCs w:val="20"/>
                <w:lang w:eastAsia="en-GB"/>
              </w:rPr>
              <w:t>m</w:t>
            </w:r>
            <w:r w:rsidR="00E80E8C">
              <w:rPr>
                <w:rFonts w:ascii="Arial" w:eastAsia="Times New Roman" w:hAnsi="Arial" w:cs="Arial"/>
                <w:sz w:val="20"/>
                <w:szCs w:val="20"/>
                <w:lang w:eastAsia="en-GB"/>
              </w:rPr>
              <w:t>*</w:t>
            </w:r>
          </w:p>
        </w:tc>
        <w:tc>
          <w:tcPr>
            <w:tcW w:w="1551" w:type="dxa"/>
            <w:tcBorders>
              <w:bottom w:val="single" w:sz="4" w:space="0" w:color="auto"/>
            </w:tcBorders>
            <w:tcMar>
              <w:top w:w="0" w:type="dxa"/>
              <w:left w:w="108" w:type="dxa"/>
              <w:bottom w:w="0" w:type="dxa"/>
              <w:right w:w="108" w:type="dxa"/>
            </w:tcMar>
            <w:vAlign w:val="center"/>
          </w:tcPr>
          <w:p w14:paraId="53F4CC50" w14:textId="7CA5277C" w:rsidR="00574B7B" w:rsidRPr="0077073D" w:rsidRDefault="008F5B35" w:rsidP="00574B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£160.8m</w:t>
            </w:r>
          </w:p>
        </w:tc>
        <w:tc>
          <w:tcPr>
            <w:tcW w:w="1283" w:type="dxa"/>
            <w:tcBorders>
              <w:bottom w:val="single" w:sz="4" w:space="0" w:color="auto"/>
            </w:tcBorders>
            <w:tcMar>
              <w:top w:w="0" w:type="dxa"/>
              <w:left w:w="108" w:type="dxa"/>
              <w:bottom w:w="0" w:type="dxa"/>
              <w:right w:w="108" w:type="dxa"/>
            </w:tcMar>
            <w:vAlign w:val="center"/>
          </w:tcPr>
          <w:p w14:paraId="714EF79F" w14:textId="77777777" w:rsidR="00574B7B" w:rsidRPr="0077073D" w:rsidRDefault="00574B7B" w:rsidP="00574B7B">
            <w:pPr>
              <w:spacing w:after="0" w:line="240" w:lineRule="auto"/>
              <w:jc w:val="right"/>
              <w:rPr>
                <w:rFonts w:ascii="Arial" w:eastAsia="Times New Roman" w:hAnsi="Arial" w:cs="Arial"/>
                <w:sz w:val="20"/>
                <w:szCs w:val="20"/>
                <w:lang w:eastAsia="en-GB"/>
              </w:rPr>
            </w:pPr>
          </w:p>
        </w:tc>
      </w:tr>
    </w:tbl>
    <w:tbl>
      <w:tblPr>
        <w:tblpPr w:leftFromText="180" w:rightFromText="180" w:vertAnchor="text" w:horzAnchor="margin" w:tblpY="545"/>
        <w:tblW w:w="8525" w:type="dxa"/>
        <w:tblCellMar>
          <w:left w:w="0" w:type="dxa"/>
          <w:right w:w="0" w:type="dxa"/>
        </w:tblCellMar>
        <w:tblLook w:val="04A0" w:firstRow="1" w:lastRow="0" w:firstColumn="1" w:lastColumn="0" w:noHBand="0" w:noVBand="1"/>
      </w:tblPr>
      <w:tblGrid>
        <w:gridCol w:w="5669"/>
        <w:gridCol w:w="1361"/>
        <w:gridCol w:w="1495"/>
      </w:tblGrid>
      <w:tr w:rsidR="00A578AB" w:rsidRPr="0077073D" w14:paraId="400E5BFD" w14:textId="77777777" w:rsidTr="00863469">
        <w:tc>
          <w:tcPr>
            <w:tcW w:w="5669" w:type="dxa"/>
            <w:tcBorders>
              <w:bottom w:val="single" w:sz="4" w:space="0" w:color="auto"/>
            </w:tcBorders>
            <w:tcMar>
              <w:top w:w="0" w:type="dxa"/>
              <w:left w:w="108" w:type="dxa"/>
              <w:bottom w:w="0" w:type="dxa"/>
              <w:right w:w="108" w:type="dxa"/>
            </w:tcMar>
            <w:vAlign w:val="bottom"/>
            <w:hideMark/>
          </w:tcPr>
          <w:p w14:paraId="76D2DE6E" w14:textId="798050F8" w:rsidR="00D62015" w:rsidRPr="0077073D" w:rsidRDefault="00D62015" w:rsidP="00D62015">
            <w:pPr>
              <w:spacing w:after="0" w:line="240" w:lineRule="auto"/>
              <w:rPr>
                <w:rFonts w:ascii="Arial" w:eastAsia="Times New Roman" w:hAnsi="Arial" w:cs="Arial"/>
                <w:b/>
                <w:bCs/>
                <w:sz w:val="20"/>
                <w:szCs w:val="20"/>
                <w:lang w:eastAsia="en-GB"/>
              </w:rPr>
            </w:pPr>
            <w:r w:rsidRPr="0077073D">
              <w:rPr>
                <w:rFonts w:ascii="Arial" w:eastAsia="Times New Roman" w:hAnsi="Arial" w:cs="Arial"/>
                <w:b/>
                <w:bCs/>
                <w:sz w:val="20"/>
                <w:szCs w:val="20"/>
                <w:lang w:eastAsia="en-GB"/>
              </w:rPr>
              <w:t>STATUTORY RESULTS</w:t>
            </w:r>
            <w:r w:rsidR="00C55910">
              <w:rPr>
                <w:rFonts w:ascii="Arial" w:eastAsia="Times New Roman" w:hAnsi="Arial" w:cs="Arial"/>
                <w:b/>
                <w:bCs/>
                <w:sz w:val="20"/>
                <w:szCs w:val="20"/>
                <w:lang w:eastAsia="en-GB"/>
              </w:rPr>
              <w:t xml:space="preserve"> - GROUP</w:t>
            </w:r>
          </w:p>
          <w:p w14:paraId="12AC0ED6" w14:textId="03166826" w:rsidR="00D62015" w:rsidRPr="0077073D" w:rsidRDefault="00D62015" w:rsidP="00D62015">
            <w:pPr>
              <w:spacing w:after="0" w:line="240" w:lineRule="auto"/>
              <w:rPr>
                <w:rFonts w:ascii="Arial" w:eastAsia="Times New Roman" w:hAnsi="Arial" w:cs="Arial"/>
                <w:b/>
                <w:bCs/>
                <w:sz w:val="20"/>
                <w:szCs w:val="20"/>
                <w:lang w:eastAsia="en-GB"/>
              </w:rPr>
            </w:pPr>
          </w:p>
        </w:tc>
        <w:tc>
          <w:tcPr>
            <w:tcW w:w="1361" w:type="dxa"/>
            <w:tcBorders>
              <w:bottom w:val="single" w:sz="4" w:space="0" w:color="auto"/>
            </w:tcBorders>
            <w:tcMar>
              <w:top w:w="0" w:type="dxa"/>
              <w:left w:w="108" w:type="dxa"/>
              <w:bottom w:w="0" w:type="dxa"/>
              <w:right w:w="108" w:type="dxa"/>
            </w:tcMar>
            <w:vAlign w:val="bottom"/>
            <w:hideMark/>
          </w:tcPr>
          <w:p w14:paraId="6DC1D85E" w14:textId="0DE46760" w:rsidR="00D62015" w:rsidRPr="0077073D" w:rsidRDefault="00D62015" w:rsidP="00D62015">
            <w:pPr>
              <w:spacing w:after="0" w:line="240" w:lineRule="auto"/>
              <w:rPr>
                <w:rFonts w:ascii="Arial" w:eastAsia="Times New Roman" w:hAnsi="Arial" w:cs="Arial"/>
                <w:b/>
                <w:bCs/>
                <w:sz w:val="20"/>
                <w:szCs w:val="20"/>
                <w:lang w:eastAsia="en-GB"/>
              </w:rPr>
            </w:pPr>
            <w:r w:rsidRPr="00D62015">
              <w:rPr>
                <w:rFonts w:ascii="Arial" w:eastAsia="Times New Roman" w:hAnsi="Arial" w:cs="Arial"/>
                <w:b/>
                <w:bCs/>
                <w:sz w:val="20"/>
                <w:szCs w:val="20"/>
                <w:lang w:eastAsia="en-GB"/>
              </w:rPr>
              <w:t>FY24</w:t>
            </w:r>
          </w:p>
        </w:tc>
        <w:tc>
          <w:tcPr>
            <w:tcW w:w="1495" w:type="dxa"/>
            <w:tcBorders>
              <w:bottom w:val="single" w:sz="4" w:space="0" w:color="auto"/>
            </w:tcBorders>
            <w:tcMar>
              <w:top w:w="0" w:type="dxa"/>
              <w:left w:w="108" w:type="dxa"/>
              <w:bottom w:w="0" w:type="dxa"/>
              <w:right w:w="108" w:type="dxa"/>
            </w:tcMar>
            <w:vAlign w:val="bottom"/>
            <w:hideMark/>
          </w:tcPr>
          <w:p w14:paraId="409689EE" w14:textId="5DAE87AC" w:rsidR="00D62015" w:rsidRPr="0077073D" w:rsidRDefault="00D62015" w:rsidP="00D62015">
            <w:pPr>
              <w:spacing w:after="0" w:line="240" w:lineRule="auto"/>
              <w:rPr>
                <w:rFonts w:ascii="Arial" w:eastAsia="Times New Roman" w:hAnsi="Arial" w:cs="Arial"/>
                <w:b/>
                <w:bCs/>
                <w:sz w:val="20"/>
                <w:szCs w:val="20"/>
                <w:lang w:eastAsia="en-GB"/>
              </w:rPr>
            </w:pPr>
            <w:r w:rsidRPr="00D62015">
              <w:rPr>
                <w:rFonts w:ascii="Arial" w:eastAsia="Times New Roman" w:hAnsi="Arial" w:cs="Arial"/>
                <w:b/>
                <w:bCs/>
                <w:sz w:val="20"/>
                <w:szCs w:val="20"/>
                <w:lang w:eastAsia="en-GB"/>
              </w:rPr>
              <w:t>FY23</w:t>
            </w:r>
          </w:p>
        </w:tc>
      </w:tr>
      <w:tr w:rsidR="00A578AB" w:rsidRPr="0077073D" w14:paraId="6A0D3E9F" w14:textId="77777777" w:rsidTr="00863469">
        <w:tc>
          <w:tcPr>
            <w:tcW w:w="5669" w:type="dxa"/>
            <w:tcBorders>
              <w:top w:val="single" w:sz="4" w:space="0" w:color="auto"/>
            </w:tcBorders>
            <w:tcMar>
              <w:top w:w="0" w:type="dxa"/>
              <w:left w:w="108" w:type="dxa"/>
              <w:bottom w:w="0" w:type="dxa"/>
              <w:right w:w="108" w:type="dxa"/>
            </w:tcMar>
            <w:vAlign w:val="bottom"/>
            <w:hideMark/>
          </w:tcPr>
          <w:p w14:paraId="01EBD766" w14:textId="77777777" w:rsidR="00137882" w:rsidRPr="0077073D" w:rsidRDefault="00137882" w:rsidP="00C6061D">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361" w:type="dxa"/>
            <w:tcBorders>
              <w:top w:val="single" w:sz="4" w:space="0" w:color="auto"/>
            </w:tcBorders>
            <w:tcMar>
              <w:top w:w="0" w:type="dxa"/>
              <w:left w:w="108" w:type="dxa"/>
              <w:bottom w:w="0" w:type="dxa"/>
              <w:right w:w="108" w:type="dxa"/>
            </w:tcMar>
            <w:vAlign w:val="bottom"/>
          </w:tcPr>
          <w:p w14:paraId="4FB31967" w14:textId="273E88FD" w:rsidR="00137882" w:rsidRPr="0077073D" w:rsidRDefault="00137882" w:rsidP="00C6061D">
            <w:pPr>
              <w:spacing w:after="0" w:line="240" w:lineRule="auto"/>
              <w:rPr>
                <w:rFonts w:ascii="Arial" w:eastAsia="Times New Roman" w:hAnsi="Arial" w:cs="Arial"/>
                <w:sz w:val="20"/>
                <w:szCs w:val="20"/>
                <w:lang w:eastAsia="en-GB"/>
              </w:rPr>
            </w:pPr>
          </w:p>
        </w:tc>
        <w:tc>
          <w:tcPr>
            <w:tcW w:w="1495" w:type="dxa"/>
            <w:tcBorders>
              <w:top w:val="single" w:sz="4" w:space="0" w:color="auto"/>
            </w:tcBorders>
            <w:tcMar>
              <w:top w:w="0" w:type="dxa"/>
              <w:left w:w="108" w:type="dxa"/>
              <w:bottom w:w="0" w:type="dxa"/>
              <w:right w:w="108" w:type="dxa"/>
            </w:tcMar>
            <w:vAlign w:val="bottom"/>
          </w:tcPr>
          <w:p w14:paraId="24E26AD9" w14:textId="35F23095" w:rsidR="00137882" w:rsidRPr="0077073D" w:rsidRDefault="00137882" w:rsidP="00C6061D">
            <w:pPr>
              <w:spacing w:after="0" w:line="240" w:lineRule="auto"/>
              <w:rPr>
                <w:rFonts w:ascii="Arial" w:eastAsia="Times New Roman" w:hAnsi="Arial" w:cs="Arial"/>
                <w:sz w:val="20"/>
                <w:szCs w:val="20"/>
                <w:lang w:eastAsia="en-GB"/>
              </w:rPr>
            </w:pPr>
          </w:p>
        </w:tc>
      </w:tr>
      <w:tr w:rsidR="00A578AB" w:rsidRPr="0077073D" w14:paraId="4AC43152" w14:textId="77777777" w:rsidTr="00863469">
        <w:trPr>
          <w:trHeight w:val="227"/>
        </w:trPr>
        <w:tc>
          <w:tcPr>
            <w:tcW w:w="5669" w:type="dxa"/>
            <w:tcMar>
              <w:top w:w="0" w:type="dxa"/>
              <w:left w:w="108" w:type="dxa"/>
              <w:bottom w:w="0" w:type="dxa"/>
              <w:right w:w="108" w:type="dxa"/>
            </w:tcMar>
            <w:vAlign w:val="bottom"/>
            <w:hideMark/>
          </w:tcPr>
          <w:p w14:paraId="19284164" w14:textId="77777777" w:rsidR="00CB5A5E" w:rsidRPr="0077073D" w:rsidRDefault="00CB5A5E" w:rsidP="00CB5A5E">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Revenue</w:t>
            </w:r>
          </w:p>
        </w:tc>
        <w:tc>
          <w:tcPr>
            <w:tcW w:w="1361" w:type="dxa"/>
            <w:tcMar>
              <w:top w:w="0" w:type="dxa"/>
              <w:left w:w="108" w:type="dxa"/>
              <w:bottom w:w="0" w:type="dxa"/>
              <w:right w:w="108" w:type="dxa"/>
            </w:tcMar>
            <w:vAlign w:val="center"/>
          </w:tcPr>
          <w:p w14:paraId="386154D2" w14:textId="522F45E8" w:rsidR="00CB5A5E" w:rsidRPr="0077073D" w:rsidRDefault="000438D7" w:rsidP="00CB5A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FE32FE">
              <w:rPr>
                <w:rFonts w:ascii="Arial" w:eastAsia="Times New Roman" w:hAnsi="Arial" w:cs="Arial"/>
                <w:sz w:val="20"/>
                <w:szCs w:val="20"/>
                <w:lang w:eastAsia="en-GB"/>
              </w:rPr>
              <w:t>5</w:t>
            </w:r>
            <w:r>
              <w:rPr>
                <w:rFonts w:ascii="Arial" w:eastAsia="Times New Roman" w:hAnsi="Arial" w:cs="Arial"/>
                <w:sz w:val="20"/>
                <w:szCs w:val="20"/>
                <w:lang w:eastAsia="en-GB"/>
              </w:rPr>
              <w:t>03.</w:t>
            </w:r>
            <w:r w:rsidR="00FE32FE">
              <w:rPr>
                <w:rFonts w:ascii="Arial" w:eastAsia="Times New Roman" w:hAnsi="Arial" w:cs="Arial"/>
                <w:sz w:val="20"/>
                <w:szCs w:val="20"/>
                <w:lang w:eastAsia="en-GB"/>
              </w:rPr>
              <w:t>2</w:t>
            </w:r>
            <w:r>
              <w:rPr>
                <w:rFonts w:ascii="Arial" w:eastAsia="Times New Roman" w:hAnsi="Arial" w:cs="Arial"/>
                <w:sz w:val="20"/>
                <w:szCs w:val="20"/>
                <w:lang w:eastAsia="en-GB"/>
              </w:rPr>
              <w:t>m</w:t>
            </w:r>
          </w:p>
        </w:tc>
        <w:tc>
          <w:tcPr>
            <w:tcW w:w="1495" w:type="dxa"/>
            <w:tcMar>
              <w:top w:w="0" w:type="dxa"/>
              <w:left w:w="108" w:type="dxa"/>
              <w:bottom w:w="0" w:type="dxa"/>
              <w:right w:w="108" w:type="dxa"/>
            </w:tcMar>
            <w:vAlign w:val="center"/>
          </w:tcPr>
          <w:p w14:paraId="08FFDEAC" w14:textId="7A99B3EA" w:rsidR="00CB5A5E" w:rsidRPr="0077073D" w:rsidRDefault="000438D7" w:rsidP="00CB5A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FE32FE">
              <w:rPr>
                <w:rFonts w:ascii="Arial" w:eastAsia="Times New Roman" w:hAnsi="Arial" w:cs="Arial"/>
                <w:sz w:val="20"/>
                <w:szCs w:val="20"/>
                <w:lang w:eastAsia="en-GB"/>
              </w:rPr>
              <w:t>465.7</w:t>
            </w:r>
            <w:r>
              <w:rPr>
                <w:rFonts w:ascii="Arial" w:eastAsia="Times New Roman" w:hAnsi="Arial" w:cs="Arial"/>
                <w:sz w:val="20"/>
                <w:szCs w:val="20"/>
                <w:lang w:eastAsia="en-GB"/>
              </w:rPr>
              <w:t>m</w:t>
            </w:r>
          </w:p>
        </w:tc>
      </w:tr>
      <w:tr w:rsidR="00A578AB" w:rsidRPr="0077073D" w14:paraId="56E9F12C" w14:textId="77777777" w:rsidTr="00863469">
        <w:trPr>
          <w:trHeight w:val="227"/>
        </w:trPr>
        <w:tc>
          <w:tcPr>
            <w:tcW w:w="5669" w:type="dxa"/>
            <w:tcMar>
              <w:top w:w="0" w:type="dxa"/>
              <w:left w:w="108" w:type="dxa"/>
              <w:bottom w:w="0" w:type="dxa"/>
              <w:right w:w="108" w:type="dxa"/>
            </w:tcMar>
            <w:vAlign w:val="bottom"/>
            <w:hideMark/>
          </w:tcPr>
          <w:p w14:paraId="3D739C22" w14:textId="02F4F584" w:rsidR="00CB5A5E" w:rsidRPr="0077073D" w:rsidRDefault="00CB2589" w:rsidP="00CB5A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Operating profit</w:t>
            </w:r>
            <w:r w:rsidRPr="00F72BA1">
              <w:rPr>
                <w:rFonts w:ascii="Arial" w:eastAsia="Times New Roman" w:hAnsi="Arial" w:cs="Arial"/>
                <w:sz w:val="20"/>
                <w:szCs w:val="20"/>
                <w:vertAlign w:val="superscript"/>
                <w:lang w:eastAsia="en-GB"/>
              </w:rPr>
              <w:t>3</w:t>
            </w:r>
          </w:p>
        </w:tc>
        <w:tc>
          <w:tcPr>
            <w:tcW w:w="1361" w:type="dxa"/>
            <w:tcMar>
              <w:top w:w="0" w:type="dxa"/>
              <w:left w:w="108" w:type="dxa"/>
              <w:bottom w:w="0" w:type="dxa"/>
              <w:right w:w="108" w:type="dxa"/>
            </w:tcMar>
            <w:vAlign w:val="center"/>
          </w:tcPr>
          <w:p w14:paraId="173988FD" w14:textId="3D8C5589" w:rsidR="00CB5A5E" w:rsidRPr="0077073D" w:rsidRDefault="000438D7" w:rsidP="00CB5A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CB2589">
              <w:rPr>
                <w:rFonts w:ascii="Arial" w:eastAsia="Times New Roman" w:hAnsi="Arial" w:cs="Arial"/>
                <w:sz w:val="20"/>
                <w:szCs w:val="20"/>
                <w:lang w:eastAsia="en-GB"/>
              </w:rPr>
              <w:t>9.6</w:t>
            </w:r>
            <w:r>
              <w:rPr>
                <w:rFonts w:ascii="Arial" w:eastAsia="Times New Roman" w:hAnsi="Arial" w:cs="Arial"/>
                <w:sz w:val="20"/>
                <w:szCs w:val="20"/>
                <w:lang w:eastAsia="en-GB"/>
              </w:rPr>
              <w:t>m</w:t>
            </w:r>
          </w:p>
        </w:tc>
        <w:tc>
          <w:tcPr>
            <w:tcW w:w="1495" w:type="dxa"/>
            <w:tcMar>
              <w:top w:w="0" w:type="dxa"/>
              <w:left w:w="108" w:type="dxa"/>
              <w:bottom w:w="0" w:type="dxa"/>
              <w:right w:w="108" w:type="dxa"/>
            </w:tcMar>
            <w:vAlign w:val="bottom"/>
          </w:tcPr>
          <w:p w14:paraId="15491413" w14:textId="65C06855" w:rsidR="00CB5A5E" w:rsidRPr="0077073D" w:rsidRDefault="000438D7" w:rsidP="00CB5A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00CB2589">
              <w:rPr>
                <w:rFonts w:ascii="Arial" w:eastAsia="Times New Roman" w:hAnsi="Arial" w:cs="Arial"/>
                <w:sz w:val="20"/>
                <w:szCs w:val="20"/>
                <w:lang w:eastAsia="en-GB"/>
              </w:rPr>
              <w:t>6.4</w:t>
            </w:r>
            <w:r>
              <w:rPr>
                <w:rFonts w:ascii="Arial" w:eastAsia="Times New Roman" w:hAnsi="Arial" w:cs="Arial"/>
                <w:sz w:val="20"/>
                <w:szCs w:val="20"/>
                <w:lang w:eastAsia="en-GB"/>
              </w:rPr>
              <w:t>m</w:t>
            </w:r>
          </w:p>
        </w:tc>
      </w:tr>
      <w:tr w:rsidR="000A0B54" w:rsidRPr="0077073D" w14:paraId="722F65C6" w14:textId="77777777" w:rsidTr="00863469">
        <w:trPr>
          <w:trHeight w:val="227"/>
        </w:trPr>
        <w:tc>
          <w:tcPr>
            <w:tcW w:w="5669" w:type="dxa"/>
            <w:tcMar>
              <w:top w:w="0" w:type="dxa"/>
              <w:left w:w="108" w:type="dxa"/>
              <w:bottom w:w="0" w:type="dxa"/>
              <w:right w:w="108" w:type="dxa"/>
            </w:tcMar>
            <w:vAlign w:val="bottom"/>
          </w:tcPr>
          <w:p w14:paraId="385EF90F" w14:textId="41745B2E" w:rsidR="000A0B54" w:rsidRDefault="00C5315A" w:rsidP="00CB5A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(Loss) before tax</w:t>
            </w:r>
            <w:r w:rsidRPr="00B81C33">
              <w:rPr>
                <w:rFonts w:ascii="Arial" w:eastAsia="Times New Roman" w:hAnsi="Arial" w:cs="Arial"/>
                <w:sz w:val="20"/>
                <w:szCs w:val="20"/>
                <w:vertAlign w:val="superscript"/>
                <w:lang w:eastAsia="en-GB"/>
              </w:rPr>
              <w:t>3</w:t>
            </w:r>
          </w:p>
        </w:tc>
        <w:tc>
          <w:tcPr>
            <w:tcW w:w="1361" w:type="dxa"/>
            <w:tcMar>
              <w:top w:w="0" w:type="dxa"/>
              <w:left w:w="108" w:type="dxa"/>
              <w:bottom w:w="0" w:type="dxa"/>
              <w:right w:w="108" w:type="dxa"/>
            </w:tcMar>
            <w:vAlign w:val="center"/>
          </w:tcPr>
          <w:p w14:paraId="2E8598B4" w14:textId="03EA37D3" w:rsidR="000A0B54" w:rsidRDefault="00C5315A" w:rsidP="00CB5A5E">
            <w:pPr>
              <w:spacing w:after="0" w:line="240" w:lineRule="auto"/>
              <w:rPr>
                <w:rFonts w:ascii="Arial" w:eastAsia="Times New Roman" w:hAnsi="Arial" w:cs="Arial"/>
                <w:sz w:val="20"/>
                <w:szCs w:val="20"/>
                <w:lang w:eastAsia="en-GB"/>
              </w:rPr>
            </w:pPr>
            <w:proofErr w:type="gramStart"/>
            <w:r>
              <w:rPr>
                <w:rFonts w:ascii="Arial" w:eastAsia="Times New Roman" w:hAnsi="Arial" w:cs="Arial"/>
                <w:sz w:val="20"/>
                <w:szCs w:val="20"/>
                <w:lang w:eastAsia="en-GB"/>
              </w:rPr>
              <w:t>£(</w:t>
            </w:r>
            <w:proofErr w:type="gramEnd"/>
            <w:r>
              <w:rPr>
                <w:rFonts w:ascii="Arial" w:eastAsia="Times New Roman" w:hAnsi="Arial" w:cs="Arial"/>
                <w:sz w:val="20"/>
                <w:szCs w:val="20"/>
                <w:lang w:eastAsia="en-GB"/>
              </w:rPr>
              <w:t>10.9)m</w:t>
            </w:r>
          </w:p>
        </w:tc>
        <w:tc>
          <w:tcPr>
            <w:tcW w:w="1495" w:type="dxa"/>
            <w:tcMar>
              <w:top w:w="0" w:type="dxa"/>
              <w:left w:w="108" w:type="dxa"/>
              <w:bottom w:w="0" w:type="dxa"/>
              <w:right w:w="108" w:type="dxa"/>
            </w:tcMar>
            <w:vAlign w:val="bottom"/>
          </w:tcPr>
          <w:p w14:paraId="56400C94" w14:textId="21245EF3" w:rsidR="000A0B54" w:rsidRDefault="00C5315A" w:rsidP="00CB5A5E">
            <w:pPr>
              <w:spacing w:after="0" w:line="240" w:lineRule="auto"/>
              <w:rPr>
                <w:rFonts w:ascii="Arial" w:eastAsia="Times New Roman" w:hAnsi="Arial" w:cs="Arial"/>
                <w:sz w:val="20"/>
                <w:szCs w:val="20"/>
                <w:lang w:eastAsia="en-GB"/>
              </w:rPr>
            </w:pPr>
            <w:proofErr w:type="gramStart"/>
            <w:r>
              <w:rPr>
                <w:rFonts w:ascii="Arial" w:eastAsia="Times New Roman" w:hAnsi="Arial" w:cs="Arial"/>
                <w:sz w:val="20"/>
                <w:szCs w:val="20"/>
                <w:lang w:eastAsia="en-GB"/>
              </w:rPr>
              <w:t>£(</w:t>
            </w:r>
            <w:proofErr w:type="gramEnd"/>
            <w:r>
              <w:rPr>
                <w:rFonts w:ascii="Arial" w:eastAsia="Times New Roman" w:hAnsi="Arial" w:cs="Arial"/>
                <w:sz w:val="20"/>
                <w:szCs w:val="20"/>
                <w:lang w:eastAsia="en-GB"/>
              </w:rPr>
              <w:t>6.9)m</w:t>
            </w:r>
          </w:p>
        </w:tc>
      </w:tr>
      <w:tr w:rsidR="00A578AB" w:rsidRPr="0077073D" w14:paraId="26179088" w14:textId="77777777" w:rsidTr="00863469">
        <w:trPr>
          <w:trHeight w:val="227"/>
        </w:trPr>
        <w:tc>
          <w:tcPr>
            <w:tcW w:w="5669" w:type="dxa"/>
            <w:tcMar>
              <w:top w:w="0" w:type="dxa"/>
              <w:left w:w="108" w:type="dxa"/>
              <w:bottom w:w="0" w:type="dxa"/>
              <w:right w:w="108" w:type="dxa"/>
            </w:tcMar>
            <w:vAlign w:val="bottom"/>
            <w:hideMark/>
          </w:tcPr>
          <w:p w14:paraId="67D61646" w14:textId="7A977AE4" w:rsidR="00CB5A5E" w:rsidRPr="0077073D" w:rsidRDefault="004D6EB1" w:rsidP="00CB5A5E">
            <w:pPr>
              <w:spacing w:after="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(Loss)</w:t>
            </w:r>
            <w:r w:rsidRPr="0077073D">
              <w:rPr>
                <w:rFonts w:ascii="Arial" w:eastAsia="Times New Roman" w:hAnsi="Arial" w:cs="Arial"/>
                <w:color w:val="000000"/>
                <w:sz w:val="20"/>
                <w:szCs w:val="20"/>
                <w:lang w:eastAsia="en-GB"/>
              </w:rPr>
              <w:t xml:space="preserve"> </w:t>
            </w:r>
            <w:r w:rsidR="00CB5A5E" w:rsidRPr="0077073D">
              <w:rPr>
                <w:rFonts w:ascii="Arial" w:eastAsia="Times New Roman" w:hAnsi="Arial" w:cs="Arial"/>
                <w:color w:val="000000"/>
                <w:sz w:val="20"/>
                <w:szCs w:val="20"/>
                <w:lang w:eastAsia="en-GB"/>
              </w:rPr>
              <w:t>per share</w:t>
            </w:r>
            <w:r w:rsidR="00CB5A5E" w:rsidRPr="0077073D">
              <w:rPr>
                <w:rFonts w:ascii="Arial" w:eastAsia="Times New Roman" w:hAnsi="Arial" w:cs="Arial"/>
                <w:sz w:val="20"/>
                <w:szCs w:val="20"/>
                <w:lang w:eastAsia="en-GB"/>
              </w:rPr>
              <w:t xml:space="preserve"> – </w:t>
            </w:r>
            <w:r w:rsidR="00CB5A5E" w:rsidRPr="0077073D">
              <w:rPr>
                <w:rFonts w:ascii="Arial" w:eastAsia="Times New Roman" w:hAnsi="Arial" w:cs="Arial"/>
                <w:color w:val="000000"/>
                <w:sz w:val="20"/>
                <w:szCs w:val="20"/>
                <w:lang w:eastAsia="en-GB"/>
              </w:rPr>
              <w:t>basic</w:t>
            </w:r>
            <w:r w:rsidR="00CB2589" w:rsidRPr="00F72BA1">
              <w:rPr>
                <w:rFonts w:ascii="Arial" w:eastAsia="Times New Roman" w:hAnsi="Arial" w:cs="Arial"/>
                <w:color w:val="000000"/>
                <w:sz w:val="20"/>
                <w:szCs w:val="20"/>
                <w:vertAlign w:val="superscript"/>
                <w:lang w:eastAsia="en-GB"/>
              </w:rPr>
              <w:t>3</w:t>
            </w:r>
          </w:p>
        </w:tc>
        <w:tc>
          <w:tcPr>
            <w:tcW w:w="1361" w:type="dxa"/>
            <w:tcMar>
              <w:top w:w="0" w:type="dxa"/>
              <w:left w:w="108" w:type="dxa"/>
              <w:bottom w:w="0" w:type="dxa"/>
              <w:right w:w="108" w:type="dxa"/>
            </w:tcMar>
            <w:vAlign w:val="bottom"/>
          </w:tcPr>
          <w:p w14:paraId="1B216DD9" w14:textId="6D674B46" w:rsidR="00CB5A5E" w:rsidRPr="0077073D" w:rsidRDefault="000438D7" w:rsidP="00CB5A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gramStart"/>
            <w:r w:rsidR="00BD1A57">
              <w:rPr>
                <w:rFonts w:ascii="Arial" w:eastAsia="Times New Roman" w:hAnsi="Arial" w:cs="Arial"/>
                <w:sz w:val="20"/>
                <w:szCs w:val="20"/>
                <w:lang w:eastAsia="en-GB"/>
              </w:rPr>
              <w:t>10.6</w:t>
            </w:r>
            <w:r>
              <w:rPr>
                <w:rFonts w:ascii="Arial" w:eastAsia="Times New Roman" w:hAnsi="Arial" w:cs="Arial"/>
                <w:sz w:val="20"/>
                <w:szCs w:val="20"/>
                <w:lang w:eastAsia="en-GB"/>
              </w:rPr>
              <w:t>)p</w:t>
            </w:r>
            <w:proofErr w:type="gramEnd"/>
          </w:p>
        </w:tc>
        <w:tc>
          <w:tcPr>
            <w:tcW w:w="1495" w:type="dxa"/>
            <w:tcMar>
              <w:top w:w="0" w:type="dxa"/>
              <w:left w:w="108" w:type="dxa"/>
              <w:bottom w:w="0" w:type="dxa"/>
              <w:right w:w="108" w:type="dxa"/>
            </w:tcMar>
            <w:vAlign w:val="bottom"/>
          </w:tcPr>
          <w:p w14:paraId="6C7FDF51" w14:textId="2EBF9D03" w:rsidR="00CB5A5E" w:rsidRPr="0077073D" w:rsidRDefault="000438D7" w:rsidP="00CB5A5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gramStart"/>
            <w:r w:rsidR="00BD1A57">
              <w:rPr>
                <w:rFonts w:ascii="Arial" w:eastAsia="Times New Roman" w:hAnsi="Arial" w:cs="Arial"/>
                <w:sz w:val="20"/>
                <w:szCs w:val="20"/>
                <w:lang w:eastAsia="en-GB"/>
              </w:rPr>
              <w:t>3.9)</w:t>
            </w:r>
            <w:r>
              <w:rPr>
                <w:rFonts w:ascii="Arial" w:eastAsia="Times New Roman" w:hAnsi="Arial" w:cs="Arial"/>
                <w:sz w:val="20"/>
                <w:szCs w:val="20"/>
                <w:lang w:eastAsia="en-GB"/>
              </w:rPr>
              <w:t>p</w:t>
            </w:r>
            <w:proofErr w:type="gramEnd"/>
          </w:p>
        </w:tc>
      </w:tr>
      <w:tr w:rsidR="00A578AB" w:rsidRPr="0077073D" w14:paraId="7D09035F" w14:textId="77777777" w:rsidTr="00863469">
        <w:trPr>
          <w:trHeight w:val="227"/>
        </w:trPr>
        <w:tc>
          <w:tcPr>
            <w:tcW w:w="5669" w:type="dxa"/>
            <w:tcMar>
              <w:top w:w="0" w:type="dxa"/>
              <w:left w:w="108" w:type="dxa"/>
              <w:bottom w:w="0" w:type="dxa"/>
              <w:right w:w="108" w:type="dxa"/>
            </w:tcMar>
            <w:vAlign w:val="bottom"/>
          </w:tcPr>
          <w:p w14:paraId="71107FEE" w14:textId="77777777" w:rsidR="00CB5A5E" w:rsidRPr="0077073D" w:rsidRDefault="00CB5A5E" w:rsidP="00CB5A5E">
            <w:pPr>
              <w:spacing w:after="0" w:line="240" w:lineRule="auto"/>
              <w:rPr>
                <w:rFonts w:ascii="Arial" w:eastAsia="Times New Roman" w:hAnsi="Arial" w:cs="Arial"/>
                <w:color w:val="000000"/>
                <w:sz w:val="20"/>
                <w:szCs w:val="20"/>
                <w:lang w:eastAsia="en-GB"/>
              </w:rPr>
            </w:pPr>
          </w:p>
        </w:tc>
        <w:tc>
          <w:tcPr>
            <w:tcW w:w="1361" w:type="dxa"/>
            <w:tcMar>
              <w:top w:w="0" w:type="dxa"/>
              <w:left w:w="108" w:type="dxa"/>
              <w:bottom w:w="0" w:type="dxa"/>
              <w:right w:w="108" w:type="dxa"/>
            </w:tcMar>
            <w:vAlign w:val="bottom"/>
          </w:tcPr>
          <w:p w14:paraId="2108C097" w14:textId="77777777" w:rsidR="00CB5A5E" w:rsidRPr="0077073D" w:rsidRDefault="00CB5A5E" w:rsidP="00CB5A5E">
            <w:pPr>
              <w:spacing w:after="0" w:line="240" w:lineRule="auto"/>
              <w:rPr>
                <w:rFonts w:ascii="Arial" w:eastAsia="Times New Roman" w:hAnsi="Arial" w:cs="Arial"/>
                <w:color w:val="000000"/>
                <w:sz w:val="20"/>
                <w:szCs w:val="20"/>
                <w:lang w:eastAsia="en-GB"/>
              </w:rPr>
            </w:pPr>
          </w:p>
        </w:tc>
        <w:tc>
          <w:tcPr>
            <w:tcW w:w="1495" w:type="dxa"/>
            <w:tcMar>
              <w:top w:w="0" w:type="dxa"/>
              <w:left w:w="108" w:type="dxa"/>
              <w:bottom w:w="0" w:type="dxa"/>
              <w:right w:w="108" w:type="dxa"/>
            </w:tcMar>
            <w:vAlign w:val="bottom"/>
          </w:tcPr>
          <w:p w14:paraId="67D12B1B" w14:textId="77777777" w:rsidR="00CB5A5E" w:rsidRPr="0077073D" w:rsidRDefault="00CB5A5E" w:rsidP="00CB5A5E">
            <w:pPr>
              <w:spacing w:after="0" w:line="240" w:lineRule="auto"/>
              <w:rPr>
                <w:rFonts w:ascii="Arial" w:eastAsia="Times New Roman" w:hAnsi="Arial" w:cs="Arial"/>
                <w:color w:val="000000"/>
                <w:sz w:val="20"/>
                <w:szCs w:val="20"/>
                <w:lang w:eastAsia="en-GB"/>
              </w:rPr>
            </w:pPr>
          </w:p>
        </w:tc>
      </w:tr>
      <w:tr w:rsidR="00A578AB" w:rsidRPr="0077073D" w14:paraId="4D7A6C00" w14:textId="77777777" w:rsidTr="00863469">
        <w:trPr>
          <w:trHeight w:val="227"/>
        </w:trPr>
        <w:tc>
          <w:tcPr>
            <w:tcW w:w="5669" w:type="dxa"/>
            <w:tcBorders>
              <w:bottom w:val="single" w:sz="4" w:space="0" w:color="auto"/>
            </w:tcBorders>
            <w:tcMar>
              <w:top w:w="0" w:type="dxa"/>
              <w:left w:w="108" w:type="dxa"/>
              <w:bottom w:w="0" w:type="dxa"/>
              <w:right w:w="108" w:type="dxa"/>
            </w:tcMar>
            <w:vAlign w:val="bottom"/>
          </w:tcPr>
          <w:p w14:paraId="5DD346E6" w14:textId="758EB8E8" w:rsidR="00CB5A5E" w:rsidRPr="0077073D" w:rsidRDefault="00CB5A5E" w:rsidP="00CB5A5E">
            <w:pPr>
              <w:spacing w:after="0" w:line="240" w:lineRule="auto"/>
              <w:rPr>
                <w:rFonts w:ascii="Arial" w:eastAsia="Times New Roman" w:hAnsi="Arial" w:cs="Arial"/>
                <w:color w:val="000000"/>
                <w:sz w:val="20"/>
                <w:szCs w:val="20"/>
                <w:lang w:eastAsia="en-GB"/>
              </w:rPr>
            </w:pPr>
            <w:r w:rsidRPr="0077073D">
              <w:rPr>
                <w:rFonts w:ascii="Arial" w:eastAsia="Times New Roman" w:hAnsi="Arial" w:cs="Arial"/>
                <w:sz w:val="20"/>
                <w:szCs w:val="20"/>
                <w:lang w:eastAsia="en-GB"/>
              </w:rPr>
              <w:t>Net debt</w:t>
            </w:r>
          </w:p>
        </w:tc>
        <w:tc>
          <w:tcPr>
            <w:tcW w:w="1361" w:type="dxa"/>
            <w:tcBorders>
              <w:bottom w:val="single" w:sz="4" w:space="0" w:color="auto"/>
            </w:tcBorders>
            <w:tcMar>
              <w:top w:w="0" w:type="dxa"/>
              <w:left w:w="108" w:type="dxa"/>
              <w:bottom w:w="0" w:type="dxa"/>
              <w:right w:w="108" w:type="dxa"/>
            </w:tcMar>
            <w:vAlign w:val="bottom"/>
          </w:tcPr>
          <w:p w14:paraId="0D53DB45" w14:textId="216F62EB" w:rsidR="00CB5A5E" w:rsidRPr="0077073D" w:rsidRDefault="008F5B35" w:rsidP="00CB5A5E">
            <w:pPr>
              <w:spacing w:after="0" w:line="240" w:lineRule="auto"/>
              <w:rPr>
                <w:rFonts w:ascii="Arial" w:eastAsia="Times New Roman" w:hAnsi="Arial" w:cs="Arial"/>
                <w:color w:val="000000"/>
                <w:sz w:val="20"/>
                <w:szCs w:val="20"/>
                <w:lang w:eastAsia="en-GB"/>
              </w:rPr>
            </w:pPr>
            <w:r>
              <w:rPr>
                <w:rFonts w:ascii="Arial" w:eastAsia="Times New Roman" w:hAnsi="Arial" w:cs="Arial"/>
                <w:sz w:val="20"/>
                <w:szCs w:val="20"/>
                <w:lang w:eastAsia="en-GB"/>
              </w:rPr>
              <w:t>£</w:t>
            </w:r>
            <w:r w:rsidR="00AB4AF0">
              <w:rPr>
                <w:rFonts w:ascii="Arial" w:eastAsia="Times New Roman" w:hAnsi="Arial" w:cs="Arial"/>
                <w:sz w:val="20"/>
                <w:szCs w:val="20"/>
                <w:lang w:eastAsia="en-GB"/>
              </w:rPr>
              <w:t>20</w:t>
            </w:r>
            <w:r w:rsidR="006A49C0">
              <w:rPr>
                <w:rFonts w:ascii="Arial" w:eastAsia="Times New Roman" w:hAnsi="Arial" w:cs="Arial"/>
                <w:sz w:val="20"/>
                <w:szCs w:val="20"/>
                <w:lang w:eastAsia="en-GB"/>
              </w:rPr>
              <w:t>3.2</w:t>
            </w:r>
            <w:r>
              <w:rPr>
                <w:rFonts w:ascii="Arial" w:eastAsia="Times New Roman" w:hAnsi="Arial" w:cs="Arial"/>
                <w:sz w:val="20"/>
                <w:szCs w:val="20"/>
                <w:lang w:eastAsia="en-GB"/>
              </w:rPr>
              <w:t>m</w:t>
            </w:r>
            <w:r w:rsidR="00E80E8C">
              <w:rPr>
                <w:rFonts w:ascii="Arial" w:eastAsia="Times New Roman" w:hAnsi="Arial" w:cs="Arial"/>
                <w:sz w:val="20"/>
                <w:szCs w:val="20"/>
                <w:lang w:eastAsia="en-GB"/>
              </w:rPr>
              <w:t>*</w:t>
            </w:r>
          </w:p>
        </w:tc>
        <w:tc>
          <w:tcPr>
            <w:tcW w:w="1495" w:type="dxa"/>
            <w:tcBorders>
              <w:bottom w:val="single" w:sz="4" w:space="0" w:color="auto"/>
            </w:tcBorders>
            <w:tcMar>
              <w:top w:w="0" w:type="dxa"/>
              <w:left w:w="108" w:type="dxa"/>
              <w:bottom w:w="0" w:type="dxa"/>
              <w:right w:w="108" w:type="dxa"/>
            </w:tcMar>
            <w:vAlign w:val="bottom"/>
          </w:tcPr>
          <w:p w14:paraId="650FA741" w14:textId="5EAC1FFA" w:rsidR="00CB5A5E" w:rsidRPr="0077073D" w:rsidRDefault="008F5B35" w:rsidP="00CB5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£188.9m</w:t>
            </w:r>
          </w:p>
        </w:tc>
      </w:tr>
    </w:tbl>
    <w:p w14:paraId="6C8E286B" w14:textId="77777777" w:rsidR="008F2842" w:rsidRPr="0077073D" w:rsidRDefault="008F2842" w:rsidP="008F2842">
      <w:pPr>
        <w:spacing w:before="100" w:beforeAutospacing="1" w:after="100" w:afterAutospacing="1" w:line="240" w:lineRule="auto"/>
        <w:rPr>
          <w:rFonts w:ascii="Arial" w:eastAsia="Times New Roman" w:hAnsi="Arial" w:cs="Arial"/>
          <w:b/>
          <w:bCs/>
          <w:color w:val="000000"/>
          <w:sz w:val="20"/>
          <w:szCs w:val="20"/>
          <w:lang w:eastAsia="en-GB"/>
        </w:rPr>
      </w:pPr>
    </w:p>
    <w:p w14:paraId="24B18AB5" w14:textId="77777777" w:rsidR="008F2842" w:rsidRPr="0077073D" w:rsidRDefault="008F2842" w:rsidP="008F2842">
      <w:pPr>
        <w:spacing w:before="100" w:beforeAutospacing="1" w:after="100" w:afterAutospacing="1" w:line="240" w:lineRule="auto"/>
        <w:rPr>
          <w:rFonts w:ascii="Arial" w:eastAsia="Times New Roman" w:hAnsi="Arial" w:cs="Arial"/>
          <w:b/>
          <w:bCs/>
          <w:color w:val="000000"/>
          <w:sz w:val="20"/>
          <w:szCs w:val="20"/>
          <w:lang w:eastAsia="en-GB"/>
        </w:rPr>
      </w:pPr>
    </w:p>
    <w:p w14:paraId="4A2302B7" w14:textId="77777777" w:rsidR="008F2842" w:rsidRPr="0077073D" w:rsidRDefault="008F2842" w:rsidP="008F2842">
      <w:pPr>
        <w:spacing w:before="100" w:beforeAutospacing="1" w:after="100" w:afterAutospacing="1" w:line="240" w:lineRule="auto"/>
        <w:rPr>
          <w:rFonts w:ascii="Arial" w:eastAsia="Times New Roman" w:hAnsi="Arial" w:cs="Arial"/>
          <w:b/>
          <w:bCs/>
          <w:color w:val="000000"/>
          <w:sz w:val="20"/>
          <w:szCs w:val="20"/>
          <w:lang w:eastAsia="en-GB"/>
        </w:rPr>
      </w:pPr>
    </w:p>
    <w:p w14:paraId="3C2C12D4" w14:textId="77777777" w:rsidR="008F2842" w:rsidRPr="0077073D" w:rsidRDefault="008F2842" w:rsidP="008F2842">
      <w:pPr>
        <w:spacing w:before="100" w:beforeAutospacing="1" w:after="100" w:afterAutospacing="1" w:line="240" w:lineRule="auto"/>
        <w:rPr>
          <w:rFonts w:ascii="Arial" w:eastAsia="Times New Roman" w:hAnsi="Arial" w:cs="Arial"/>
          <w:b/>
          <w:bCs/>
          <w:color w:val="000000"/>
          <w:sz w:val="20"/>
          <w:szCs w:val="20"/>
          <w:lang w:eastAsia="en-GB"/>
        </w:rPr>
      </w:pPr>
    </w:p>
    <w:p w14:paraId="7FBB8B2F" w14:textId="77777777" w:rsidR="00A578AB" w:rsidRPr="0077073D" w:rsidRDefault="00A578AB" w:rsidP="008F2842">
      <w:pPr>
        <w:spacing w:before="100" w:beforeAutospacing="1" w:after="100" w:afterAutospacing="1" w:line="240" w:lineRule="auto"/>
        <w:rPr>
          <w:rFonts w:ascii="Arial" w:eastAsia="Times New Roman" w:hAnsi="Arial" w:cs="Arial"/>
          <w:b/>
          <w:bCs/>
          <w:color w:val="000000"/>
          <w:sz w:val="20"/>
          <w:szCs w:val="20"/>
          <w:lang w:eastAsia="en-GB"/>
        </w:rPr>
      </w:pPr>
    </w:p>
    <w:p w14:paraId="08C1A246" w14:textId="37719415" w:rsidR="00A578AB" w:rsidRPr="00AB1DC6" w:rsidRDefault="008F2842" w:rsidP="00A578AB">
      <w:pPr>
        <w:spacing w:after="0" w:line="240" w:lineRule="auto"/>
        <w:jc w:val="both"/>
        <w:rPr>
          <w:rFonts w:ascii="Arial" w:eastAsia="Times New Roman" w:hAnsi="Arial" w:cs="Arial"/>
          <w:i/>
          <w:iCs/>
          <w:color w:val="000000"/>
          <w:sz w:val="20"/>
          <w:szCs w:val="20"/>
          <w:lang w:eastAsia="en-GB"/>
        </w:rPr>
      </w:pPr>
      <w:r w:rsidRPr="0077073D">
        <w:rPr>
          <w:rFonts w:ascii="Arial" w:eastAsia="Times New Roman" w:hAnsi="Arial" w:cs="Arial"/>
          <w:i/>
          <w:iCs/>
          <w:color w:val="000000"/>
          <w:sz w:val="20"/>
          <w:szCs w:val="20"/>
          <w:lang w:eastAsia="en-GB"/>
        </w:rPr>
        <w:t xml:space="preserve"> </w:t>
      </w:r>
      <w:r w:rsidR="00A578AB">
        <w:rPr>
          <w:rFonts w:ascii="Arial" w:eastAsia="Times New Roman" w:hAnsi="Arial" w:cs="Arial"/>
          <w:color w:val="000000"/>
          <w:sz w:val="20"/>
          <w:szCs w:val="20"/>
          <w:lang w:eastAsia="en-GB"/>
        </w:rPr>
        <w:t>*</w:t>
      </w:r>
      <w:r w:rsidR="00A578AB" w:rsidRPr="00AB1DC6">
        <w:rPr>
          <w:rFonts w:ascii="Arial" w:eastAsia="Times New Roman" w:hAnsi="Arial" w:cs="Arial"/>
          <w:i/>
          <w:iCs/>
          <w:color w:val="000000"/>
          <w:sz w:val="20"/>
          <w:szCs w:val="20"/>
          <w:lang w:eastAsia="en-GB"/>
        </w:rPr>
        <w:t xml:space="preserve">Net debt position prior to the completion of the Group’s £430 million </w:t>
      </w:r>
      <w:r w:rsidR="00A578AB">
        <w:rPr>
          <w:rFonts w:ascii="Arial" w:eastAsia="Times New Roman" w:hAnsi="Arial" w:cs="Arial"/>
          <w:i/>
          <w:iCs/>
          <w:color w:val="000000"/>
          <w:sz w:val="20"/>
          <w:szCs w:val="20"/>
          <w:lang w:eastAsia="en-GB"/>
        </w:rPr>
        <w:t>D</w:t>
      </w:r>
      <w:r w:rsidR="00A578AB" w:rsidRPr="00AB1DC6">
        <w:rPr>
          <w:rFonts w:ascii="Arial" w:eastAsia="Times New Roman" w:hAnsi="Arial" w:cs="Arial"/>
          <w:i/>
          <w:iCs/>
          <w:color w:val="000000"/>
          <w:sz w:val="20"/>
          <w:szCs w:val="20"/>
          <w:lang w:eastAsia="en-GB"/>
        </w:rPr>
        <w:t>ivestment and the return of £150 million via a special dividend</w:t>
      </w:r>
    </w:p>
    <w:p w14:paraId="7DF1A489" w14:textId="218BC795" w:rsidR="00012B8F" w:rsidRDefault="00012B8F" w:rsidP="00772E92">
      <w:pPr>
        <w:spacing w:after="0" w:line="240" w:lineRule="auto"/>
        <w:jc w:val="both"/>
        <w:rPr>
          <w:rFonts w:ascii="Arial" w:eastAsia="Times New Roman" w:hAnsi="Arial" w:cs="Arial"/>
          <w:b/>
          <w:bCs/>
          <w:color w:val="000000"/>
          <w:sz w:val="20"/>
          <w:szCs w:val="20"/>
          <w:lang w:eastAsia="en-GB"/>
        </w:rPr>
      </w:pPr>
    </w:p>
    <w:p w14:paraId="45186425" w14:textId="1E7A20E1" w:rsidR="00B8145E" w:rsidRDefault="004D6EB1" w:rsidP="00772E92">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On the 3 June 2024, the Group announce</w:t>
      </w:r>
      <w:r w:rsidR="00B2753E">
        <w:rPr>
          <w:rFonts w:ascii="Arial" w:eastAsia="Times New Roman" w:hAnsi="Arial" w:cs="Arial"/>
          <w:color w:val="000000"/>
          <w:sz w:val="20"/>
          <w:szCs w:val="20"/>
          <w:lang w:eastAsia="en-GB"/>
        </w:rPr>
        <w:t>d</w:t>
      </w:r>
      <w:r>
        <w:rPr>
          <w:rFonts w:ascii="Arial" w:eastAsia="Times New Roman" w:hAnsi="Arial" w:cs="Arial"/>
          <w:color w:val="000000"/>
          <w:sz w:val="20"/>
          <w:szCs w:val="20"/>
          <w:lang w:eastAsia="en-GB"/>
        </w:rPr>
        <w:t xml:space="preserve"> the completion of the sale </w:t>
      </w:r>
      <w:r w:rsidRPr="004D6EB1">
        <w:rPr>
          <w:rFonts w:ascii="Arial" w:eastAsia="Times New Roman" w:hAnsi="Arial" w:cs="Arial"/>
          <w:color w:val="000000"/>
          <w:sz w:val="20"/>
          <w:szCs w:val="20"/>
          <w:lang w:eastAsia="en-GB"/>
        </w:rPr>
        <w:t>of certain Governance, Risk &amp; Compliance ("GRC") software and services assets for an Enterprise Value of £430 million</w:t>
      </w:r>
      <w:r w:rsidR="00C55910">
        <w:rPr>
          <w:rFonts w:ascii="Arial" w:eastAsia="Times New Roman" w:hAnsi="Arial" w:cs="Arial"/>
          <w:color w:val="000000"/>
          <w:sz w:val="20"/>
          <w:szCs w:val="20"/>
          <w:lang w:eastAsia="en-GB"/>
        </w:rPr>
        <w:t xml:space="preserve"> in cash</w:t>
      </w:r>
      <w:r>
        <w:rPr>
          <w:rFonts w:ascii="Arial" w:eastAsia="Times New Roman" w:hAnsi="Arial" w:cs="Arial"/>
          <w:color w:val="000000"/>
          <w:sz w:val="20"/>
          <w:szCs w:val="20"/>
          <w:lang w:eastAsia="en-GB"/>
        </w:rPr>
        <w:t>. Marlowe’s continuing operations</w:t>
      </w:r>
      <w:r w:rsidR="00C55910">
        <w:rPr>
          <w:rFonts w:ascii="Arial" w:eastAsia="Times New Roman" w:hAnsi="Arial" w:cs="Arial"/>
          <w:color w:val="000000"/>
          <w:sz w:val="20"/>
          <w:szCs w:val="20"/>
          <w:lang w:eastAsia="en-GB"/>
        </w:rPr>
        <w:t xml:space="preserve"> since 3 June 2024</w:t>
      </w:r>
      <w:r>
        <w:rPr>
          <w:rFonts w:ascii="Arial" w:eastAsia="Times New Roman" w:hAnsi="Arial" w:cs="Arial"/>
          <w:color w:val="000000"/>
          <w:sz w:val="20"/>
          <w:szCs w:val="20"/>
          <w:lang w:eastAsia="en-GB"/>
        </w:rPr>
        <w:t xml:space="preserve"> comprise the </w:t>
      </w:r>
      <w:r w:rsidRPr="004D6EB1">
        <w:rPr>
          <w:rFonts w:ascii="Arial" w:eastAsia="Times New Roman" w:hAnsi="Arial" w:cs="Arial"/>
          <w:color w:val="000000"/>
          <w:sz w:val="20"/>
          <w:szCs w:val="20"/>
          <w:lang w:eastAsia="en-GB"/>
        </w:rPr>
        <w:t>Testing, Inspection &amp; Certification (“TIC”) and Occupational Health (“OH”)</w:t>
      </w:r>
      <w:r>
        <w:rPr>
          <w:rFonts w:ascii="Arial" w:eastAsia="Times New Roman" w:hAnsi="Arial" w:cs="Arial"/>
          <w:color w:val="000000"/>
          <w:sz w:val="20"/>
          <w:szCs w:val="20"/>
          <w:lang w:eastAsia="en-GB"/>
        </w:rPr>
        <w:t xml:space="preserve"> divisions</w:t>
      </w:r>
      <w:r w:rsidR="00C55910">
        <w:rPr>
          <w:rFonts w:ascii="Arial" w:eastAsia="Times New Roman" w:hAnsi="Arial" w:cs="Arial"/>
          <w:color w:val="000000"/>
          <w:sz w:val="20"/>
          <w:szCs w:val="20"/>
          <w:lang w:eastAsia="en-GB"/>
        </w:rPr>
        <w:t xml:space="preserve"> on which the Group’s forward strategy is focussed</w:t>
      </w:r>
      <w:r>
        <w:rPr>
          <w:rFonts w:ascii="Arial" w:eastAsia="Times New Roman" w:hAnsi="Arial" w:cs="Arial"/>
          <w:color w:val="000000"/>
          <w:sz w:val="20"/>
          <w:szCs w:val="20"/>
          <w:lang w:eastAsia="en-GB"/>
        </w:rPr>
        <w:t xml:space="preserve">. </w:t>
      </w:r>
    </w:p>
    <w:p w14:paraId="4FE5BA8F" w14:textId="77777777" w:rsidR="0051500E" w:rsidRDefault="0051500E" w:rsidP="00772E92">
      <w:pPr>
        <w:spacing w:after="0" w:line="240" w:lineRule="auto"/>
        <w:jc w:val="both"/>
        <w:rPr>
          <w:rFonts w:ascii="Arial" w:eastAsia="Times New Roman" w:hAnsi="Arial" w:cs="Arial"/>
          <w:color w:val="000000"/>
          <w:sz w:val="20"/>
          <w:szCs w:val="20"/>
          <w:lang w:eastAsia="en-GB"/>
        </w:rPr>
      </w:pPr>
    </w:p>
    <w:p w14:paraId="5CA32523" w14:textId="77777777" w:rsidR="0051500E" w:rsidRDefault="0051500E" w:rsidP="00772E92">
      <w:pPr>
        <w:spacing w:after="0" w:line="240" w:lineRule="auto"/>
        <w:jc w:val="both"/>
        <w:rPr>
          <w:rFonts w:ascii="Arial" w:eastAsia="Times New Roman" w:hAnsi="Arial" w:cs="Arial"/>
          <w:color w:val="000000"/>
          <w:sz w:val="20"/>
          <w:szCs w:val="20"/>
          <w:lang w:eastAsia="en-GB"/>
        </w:rPr>
      </w:pPr>
    </w:p>
    <w:p w14:paraId="68BD3F7C" w14:textId="77777777" w:rsidR="0051500E" w:rsidRDefault="0051500E" w:rsidP="00772E92">
      <w:pPr>
        <w:spacing w:after="0" w:line="240" w:lineRule="auto"/>
        <w:jc w:val="both"/>
        <w:rPr>
          <w:rFonts w:ascii="Arial" w:eastAsia="Times New Roman" w:hAnsi="Arial" w:cs="Arial"/>
          <w:color w:val="000000"/>
          <w:sz w:val="20"/>
          <w:szCs w:val="20"/>
          <w:lang w:eastAsia="en-GB"/>
        </w:rPr>
      </w:pPr>
    </w:p>
    <w:p w14:paraId="69738838" w14:textId="77777777" w:rsidR="0051500E" w:rsidRDefault="0051500E" w:rsidP="00772E92">
      <w:pPr>
        <w:spacing w:after="0" w:line="240" w:lineRule="auto"/>
        <w:jc w:val="both"/>
        <w:rPr>
          <w:rFonts w:ascii="Arial" w:eastAsia="Times New Roman" w:hAnsi="Arial" w:cs="Arial"/>
          <w:color w:val="000000"/>
          <w:sz w:val="20"/>
          <w:szCs w:val="20"/>
          <w:lang w:eastAsia="en-GB"/>
        </w:rPr>
      </w:pPr>
    </w:p>
    <w:p w14:paraId="6D595749" w14:textId="77777777" w:rsidR="0051500E" w:rsidRDefault="0051500E" w:rsidP="00772E92">
      <w:pPr>
        <w:spacing w:after="0" w:line="240" w:lineRule="auto"/>
        <w:jc w:val="both"/>
        <w:rPr>
          <w:rFonts w:ascii="Arial" w:eastAsia="Times New Roman" w:hAnsi="Arial" w:cs="Arial"/>
          <w:color w:val="000000"/>
          <w:sz w:val="20"/>
          <w:szCs w:val="20"/>
          <w:lang w:eastAsia="en-GB"/>
        </w:rPr>
      </w:pPr>
    </w:p>
    <w:p w14:paraId="590B93AA" w14:textId="77777777" w:rsidR="0051500E" w:rsidRDefault="0051500E" w:rsidP="00772E92">
      <w:pPr>
        <w:spacing w:after="0" w:line="240" w:lineRule="auto"/>
        <w:jc w:val="both"/>
        <w:rPr>
          <w:rFonts w:ascii="Arial" w:eastAsia="Times New Roman" w:hAnsi="Arial" w:cs="Arial"/>
          <w:color w:val="000000"/>
          <w:sz w:val="20"/>
          <w:szCs w:val="20"/>
          <w:lang w:eastAsia="en-GB"/>
        </w:rPr>
      </w:pPr>
    </w:p>
    <w:p w14:paraId="29D682BA" w14:textId="0A74681D" w:rsidR="00C5315A" w:rsidRPr="008F5B35" w:rsidRDefault="00C5315A" w:rsidP="00C5315A">
      <w:pPr>
        <w:spacing w:after="0" w:line="253" w:lineRule="atLeast"/>
        <w:rPr>
          <w:rFonts w:ascii="Arial" w:eastAsia="Times New Roman" w:hAnsi="Arial" w:cs="Arial"/>
          <w:i/>
          <w:iCs/>
          <w:color w:val="000000"/>
          <w:sz w:val="20"/>
          <w:szCs w:val="20"/>
          <w:lang w:eastAsia="en-GB"/>
        </w:rPr>
      </w:pPr>
      <w:r w:rsidRPr="0077073D">
        <w:rPr>
          <w:rFonts w:ascii="Arial" w:eastAsia="Times New Roman" w:hAnsi="Arial" w:cs="Arial"/>
          <w:i/>
          <w:iCs/>
          <w:color w:val="000000"/>
          <w:sz w:val="20"/>
          <w:szCs w:val="20"/>
          <w:lang w:eastAsia="en-GB"/>
        </w:rPr>
        <w:t xml:space="preserve"> </w:t>
      </w:r>
    </w:p>
    <w:p w14:paraId="213A08E6" w14:textId="2561D36B" w:rsidR="00177EF6" w:rsidRDefault="00C5315A" w:rsidP="00C5315A">
      <w:pPr>
        <w:spacing w:after="0" w:line="240" w:lineRule="auto"/>
        <w:jc w:val="both"/>
        <w:rPr>
          <w:rFonts w:ascii="Arial" w:eastAsia="Times New Roman" w:hAnsi="Arial" w:cs="Arial"/>
          <w:color w:val="000000"/>
          <w:sz w:val="20"/>
          <w:szCs w:val="20"/>
          <w:lang w:eastAsia="en-GB"/>
        </w:rPr>
      </w:pPr>
      <w:r w:rsidRPr="00863469">
        <w:rPr>
          <w:rFonts w:ascii="Arial" w:eastAsia="Times New Roman" w:hAnsi="Arial" w:cs="Arial"/>
          <w:b/>
          <w:bCs/>
          <w:color w:val="000000"/>
          <w:sz w:val="20"/>
          <w:szCs w:val="20"/>
          <w:lang w:eastAsia="en-GB"/>
        </w:rPr>
        <w:lastRenderedPageBreak/>
        <w:t>Financial performance of continuing operations</w:t>
      </w:r>
    </w:p>
    <w:p w14:paraId="5A3C043F" w14:textId="77777777" w:rsidR="00012B8F" w:rsidRDefault="00012B8F" w:rsidP="00772E92">
      <w:pPr>
        <w:spacing w:after="0" w:line="240" w:lineRule="auto"/>
        <w:jc w:val="both"/>
        <w:rPr>
          <w:rFonts w:ascii="Arial" w:eastAsia="Times New Roman" w:hAnsi="Arial" w:cs="Arial"/>
          <w:b/>
          <w:bCs/>
          <w:color w:val="000000"/>
          <w:sz w:val="20"/>
          <w:szCs w:val="20"/>
          <w:lang w:eastAsia="en-GB"/>
        </w:rPr>
      </w:pPr>
    </w:p>
    <w:tbl>
      <w:tblPr>
        <w:tblW w:w="9672" w:type="dxa"/>
        <w:tblCellMar>
          <w:left w:w="0" w:type="dxa"/>
          <w:right w:w="0" w:type="dxa"/>
        </w:tblCellMar>
        <w:tblLook w:val="04A0" w:firstRow="1" w:lastRow="0" w:firstColumn="1" w:lastColumn="0" w:noHBand="0" w:noVBand="1"/>
      </w:tblPr>
      <w:tblGrid>
        <w:gridCol w:w="5669"/>
        <w:gridCol w:w="1361"/>
        <w:gridCol w:w="1361"/>
        <w:gridCol w:w="1281"/>
      </w:tblGrid>
      <w:tr w:rsidR="00A578AB" w:rsidRPr="0077073D" w14:paraId="3679B677" w14:textId="77777777" w:rsidTr="00A578AB">
        <w:trPr>
          <w:trHeight w:val="258"/>
        </w:trPr>
        <w:tc>
          <w:tcPr>
            <w:tcW w:w="5669" w:type="dxa"/>
            <w:tcBorders>
              <w:top w:val="nil"/>
              <w:left w:val="nil"/>
              <w:bottom w:val="single" w:sz="8" w:space="0" w:color="auto"/>
              <w:right w:val="nil"/>
            </w:tcBorders>
            <w:tcMar>
              <w:top w:w="0" w:type="dxa"/>
              <w:left w:w="108" w:type="dxa"/>
              <w:bottom w:w="0" w:type="dxa"/>
              <w:right w:w="108" w:type="dxa"/>
            </w:tcMar>
            <w:vAlign w:val="bottom"/>
            <w:hideMark/>
          </w:tcPr>
          <w:p w14:paraId="4546DF03" w14:textId="47024604" w:rsidR="00012B8F" w:rsidRPr="0077073D" w:rsidRDefault="00C5315A" w:rsidP="00334948">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ADJUSTED </w:t>
            </w:r>
            <w:r w:rsidR="00012B8F" w:rsidRPr="0077073D">
              <w:rPr>
                <w:rFonts w:ascii="Arial" w:eastAsia="Times New Roman" w:hAnsi="Arial" w:cs="Arial"/>
                <w:b/>
                <w:bCs/>
                <w:sz w:val="20"/>
                <w:szCs w:val="20"/>
                <w:lang w:eastAsia="en-GB"/>
              </w:rPr>
              <w:t xml:space="preserve">RESULTS </w:t>
            </w:r>
            <w:r w:rsidR="00C55910">
              <w:rPr>
                <w:rFonts w:ascii="Arial" w:eastAsia="Times New Roman" w:hAnsi="Arial" w:cs="Arial"/>
                <w:b/>
                <w:bCs/>
                <w:sz w:val="20"/>
                <w:szCs w:val="20"/>
                <w:lang w:eastAsia="en-GB"/>
              </w:rPr>
              <w:t>– CONTINUING OPERATIONS</w:t>
            </w:r>
          </w:p>
        </w:tc>
        <w:tc>
          <w:tcPr>
            <w:tcW w:w="1361" w:type="dxa"/>
            <w:tcBorders>
              <w:top w:val="nil"/>
              <w:left w:val="nil"/>
              <w:bottom w:val="single" w:sz="8" w:space="0" w:color="auto"/>
              <w:right w:val="nil"/>
            </w:tcBorders>
            <w:tcMar>
              <w:top w:w="0" w:type="dxa"/>
              <w:left w:w="108" w:type="dxa"/>
              <w:bottom w:w="0" w:type="dxa"/>
              <w:right w:w="108" w:type="dxa"/>
            </w:tcMar>
            <w:vAlign w:val="bottom"/>
            <w:hideMark/>
          </w:tcPr>
          <w:p w14:paraId="4AE6625C" w14:textId="77777777" w:rsidR="00012B8F" w:rsidRPr="00D62015" w:rsidRDefault="00012B8F" w:rsidP="00334948">
            <w:pPr>
              <w:spacing w:after="0" w:line="240" w:lineRule="auto"/>
              <w:rPr>
                <w:rFonts w:ascii="Arial" w:eastAsia="Times New Roman" w:hAnsi="Arial" w:cs="Arial"/>
                <w:b/>
                <w:bCs/>
                <w:sz w:val="20"/>
                <w:szCs w:val="20"/>
                <w:lang w:eastAsia="en-GB"/>
              </w:rPr>
            </w:pPr>
            <w:r w:rsidRPr="00D62015">
              <w:rPr>
                <w:rFonts w:ascii="Arial" w:eastAsia="Times New Roman" w:hAnsi="Arial" w:cs="Arial"/>
                <w:b/>
                <w:bCs/>
                <w:sz w:val="20"/>
                <w:szCs w:val="20"/>
                <w:lang w:eastAsia="en-GB"/>
              </w:rPr>
              <w:t>FY24</w:t>
            </w:r>
          </w:p>
        </w:tc>
        <w:tc>
          <w:tcPr>
            <w:tcW w:w="1361" w:type="dxa"/>
            <w:tcBorders>
              <w:top w:val="nil"/>
              <w:left w:val="nil"/>
              <w:bottom w:val="single" w:sz="8" w:space="0" w:color="auto"/>
              <w:right w:val="nil"/>
            </w:tcBorders>
            <w:tcMar>
              <w:top w:w="0" w:type="dxa"/>
              <w:left w:w="108" w:type="dxa"/>
              <w:bottom w:w="0" w:type="dxa"/>
              <w:right w:w="108" w:type="dxa"/>
            </w:tcMar>
            <w:vAlign w:val="bottom"/>
            <w:hideMark/>
          </w:tcPr>
          <w:p w14:paraId="03584F53" w14:textId="77777777" w:rsidR="00012B8F" w:rsidRPr="00D62015" w:rsidRDefault="00012B8F" w:rsidP="00334948">
            <w:pPr>
              <w:spacing w:after="0" w:line="240" w:lineRule="auto"/>
              <w:rPr>
                <w:rFonts w:ascii="Arial" w:eastAsia="Times New Roman" w:hAnsi="Arial" w:cs="Arial"/>
                <w:b/>
                <w:bCs/>
                <w:sz w:val="20"/>
                <w:szCs w:val="20"/>
                <w:lang w:eastAsia="en-GB"/>
              </w:rPr>
            </w:pPr>
            <w:r w:rsidRPr="00D62015">
              <w:rPr>
                <w:rFonts w:ascii="Arial" w:eastAsia="Times New Roman" w:hAnsi="Arial" w:cs="Arial"/>
                <w:b/>
                <w:bCs/>
                <w:sz w:val="20"/>
                <w:szCs w:val="20"/>
                <w:lang w:eastAsia="en-GB"/>
              </w:rPr>
              <w:t>FY23</w:t>
            </w:r>
          </w:p>
        </w:tc>
        <w:tc>
          <w:tcPr>
            <w:tcW w:w="1281" w:type="dxa"/>
            <w:tcBorders>
              <w:top w:val="nil"/>
              <w:left w:val="nil"/>
              <w:bottom w:val="single" w:sz="8" w:space="0" w:color="auto"/>
              <w:right w:val="nil"/>
            </w:tcBorders>
            <w:tcMar>
              <w:top w:w="0" w:type="dxa"/>
              <w:left w:w="108" w:type="dxa"/>
              <w:bottom w:w="0" w:type="dxa"/>
              <w:right w:w="108" w:type="dxa"/>
            </w:tcMar>
            <w:vAlign w:val="bottom"/>
            <w:hideMark/>
          </w:tcPr>
          <w:p w14:paraId="6DE7C5D7" w14:textId="77777777" w:rsidR="00012B8F" w:rsidRPr="0077073D" w:rsidRDefault="00012B8F" w:rsidP="00334948">
            <w:pPr>
              <w:spacing w:after="0" w:line="240" w:lineRule="auto"/>
              <w:rPr>
                <w:rFonts w:ascii="Arial" w:eastAsia="Times New Roman" w:hAnsi="Arial" w:cs="Arial"/>
                <w:b/>
                <w:bCs/>
                <w:sz w:val="20"/>
                <w:szCs w:val="20"/>
                <w:lang w:eastAsia="en-GB"/>
              </w:rPr>
            </w:pPr>
            <w:r w:rsidRPr="0077073D">
              <w:rPr>
                <w:rFonts w:ascii="Arial" w:eastAsia="Times New Roman" w:hAnsi="Arial" w:cs="Arial"/>
                <w:b/>
                <w:bCs/>
                <w:sz w:val="20"/>
                <w:szCs w:val="20"/>
                <w:lang w:eastAsia="en-GB"/>
              </w:rPr>
              <w:t>Change</w:t>
            </w:r>
          </w:p>
        </w:tc>
      </w:tr>
      <w:tr w:rsidR="008074E7" w:rsidRPr="0077073D" w14:paraId="0EF4C5AD" w14:textId="77777777" w:rsidTr="00863469">
        <w:trPr>
          <w:trHeight w:val="258"/>
        </w:trPr>
        <w:tc>
          <w:tcPr>
            <w:tcW w:w="5669" w:type="dxa"/>
            <w:tcMar>
              <w:top w:w="0" w:type="dxa"/>
              <w:left w:w="108" w:type="dxa"/>
              <w:bottom w:w="0" w:type="dxa"/>
              <w:right w:w="108" w:type="dxa"/>
            </w:tcMar>
            <w:vAlign w:val="center"/>
            <w:hideMark/>
          </w:tcPr>
          <w:p w14:paraId="13D346EE" w14:textId="77777777" w:rsidR="00012B8F" w:rsidRPr="0077073D" w:rsidRDefault="00012B8F" w:rsidP="00334948">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361" w:type="dxa"/>
            <w:tcMar>
              <w:top w:w="0" w:type="dxa"/>
              <w:left w:w="108" w:type="dxa"/>
              <w:bottom w:w="0" w:type="dxa"/>
              <w:right w:w="108" w:type="dxa"/>
            </w:tcMar>
            <w:vAlign w:val="center"/>
            <w:hideMark/>
          </w:tcPr>
          <w:p w14:paraId="2B54C725" w14:textId="77777777" w:rsidR="00012B8F" w:rsidRPr="0077073D" w:rsidRDefault="00012B8F" w:rsidP="00334948">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361" w:type="dxa"/>
            <w:tcMar>
              <w:top w:w="0" w:type="dxa"/>
              <w:left w:w="108" w:type="dxa"/>
              <w:bottom w:w="0" w:type="dxa"/>
              <w:right w:w="108" w:type="dxa"/>
            </w:tcMar>
            <w:vAlign w:val="center"/>
            <w:hideMark/>
          </w:tcPr>
          <w:p w14:paraId="6E689022" w14:textId="77777777" w:rsidR="00012B8F" w:rsidRPr="0077073D" w:rsidRDefault="00012B8F" w:rsidP="00334948">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281" w:type="dxa"/>
            <w:tcMar>
              <w:top w:w="0" w:type="dxa"/>
              <w:left w:w="108" w:type="dxa"/>
              <w:bottom w:w="0" w:type="dxa"/>
              <w:right w:w="108" w:type="dxa"/>
            </w:tcMar>
            <w:vAlign w:val="center"/>
            <w:hideMark/>
          </w:tcPr>
          <w:p w14:paraId="3C6E634F" w14:textId="77777777" w:rsidR="00012B8F" w:rsidRPr="0077073D" w:rsidRDefault="00012B8F" w:rsidP="00334948">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r>
      <w:tr w:rsidR="008074E7" w:rsidRPr="0077073D" w14:paraId="0B6EE900" w14:textId="77777777" w:rsidTr="00863469">
        <w:trPr>
          <w:trHeight w:val="255"/>
        </w:trPr>
        <w:tc>
          <w:tcPr>
            <w:tcW w:w="5669" w:type="dxa"/>
            <w:tcMar>
              <w:top w:w="0" w:type="dxa"/>
              <w:left w:w="108" w:type="dxa"/>
              <w:bottom w:w="0" w:type="dxa"/>
              <w:right w:w="108" w:type="dxa"/>
            </w:tcMar>
            <w:vAlign w:val="center"/>
            <w:hideMark/>
          </w:tcPr>
          <w:p w14:paraId="6C6965E3" w14:textId="77777777" w:rsidR="00012B8F" w:rsidRPr="0077073D" w:rsidRDefault="00012B8F" w:rsidP="00334948">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Revenue</w:t>
            </w:r>
          </w:p>
        </w:tc>
        <w:tc>
          <w:tcPr>
            <w:tcW w:w="1361" w:type="dxa"/>
            <w:tcMar>
              <w:top w:w="0" w:type="dxa"/>
              <w:left w:w="108" w:type="dxa"/>
              <w:bottom w:w="0" w:type="dxa"/>
              <w:right w:w="108" w:type="dxa"/>
            </w:tcMar>
            <w:vAlign w:val="center"/>
          </w:tcPr>
          <w:p w14:paraId="2276B213" w14:textId="679EC982" w:rsidR="00012B8F" w:rsidRPr="0077073D" w:rsidRDefault="00012B8F"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£40</w:t>
            </w:r>
            <w:r w:rsidR="00BD1A57">
              <w:rPr>
                <w:rFonts w:ascii="Arial" w:eastAsia="Times New Roman" w:hAnsi="Arial" w:cs="Arial"/>
                <w:sz w:val="20"/>
                <w:szCs w:val="20"/>
                <w:lang w:eastAsia="en-GB"/>
              </w:rPr>
              <w:t>2.9</w:t>
            </w:r>
            <w:r>
              <w:rPr>
                <w:rFonts w:ascii="Arial" w:eastAsia="Times New Roman" w:hAnsi="Arial" w:cs="Arial"/>
                <w:sz w:val="20"/>
                <w:szCs w:val="20"/>
                <w:lang w:eastAsia="en-GB"/>
              </w:rPr>
              <w:t>m</w:t>
            </w:r>
          </w:p>
        </w:tc>
        <w:tc>
          <w:tcPr>
            <w:tcW w:w="1361" w:type="dxa"/>
            <w:tcMar>
              <w:top w:w="0" w:type="dxa"/>
              <w:left w:w="108" w:type="dxa"/>
              <w:bottom w:w="0" w:type="dxa"/>
              <w:right w:w="108" w:type="dxa"/>
            </w:tcMar>
            <w:vAlign w:val="center"/>
          </w:tcPr>
          <w:p w14:paraId="3E9A3913" w14:textId="1D9181E7" w:rsidR="00012B8F" w:rsidRPr="0077073D" w:rsidRDefault="00012B8F"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£381.</w:t>
            </w:r>
            <w:r w:rsidR="00BD1A57">
              <w:rPr>
                <w:rFonts w:ascii="Arial" w:eastAsia="Times New Roman" w:hAnsi="Arial" w:cs="Arial"/>
                <w:sz w:val="20"/>
                <w:szCs w:val="20"/>
                <w:lang w:eastAsia="en-GB"/>
              </w:rPr>
              <w:t>9</w:t>
            </w:r>
            <w:r>
              <w:rPr>
                <w:rFonts w:ascii="Arial" w:eastAsia="Times New Roman" w:hAnsi="Arial" w:cs="Arial"/>
                <w:sz w:val="20"/>
                <w:szCs w:val="20"/>
                <w:lang w:eastAsia="en-GB"/>
              </w:rPr>
              <w:t>m</w:t>
            </w:r>
          </w:p>
        </w:tc>
        <w:tc>
          <w:tcPr>
            <w:tcW w:w="1281" w:type="dxa"/>
            <w:tcMar>
              <w:top w:w="0" w:type="dxa"/>
              <w:left w:w="108" w:type="dxa"/>
              <w:bottom w:w="0" w:type="dxa"/>
              <w:right w:w="108" w:type="dxa"/>
            </w:tcMar>
            <w:vAlign w:val="center"/>
          </w:tcPr>
          <w:p w14:paraId="3D8C7441" w14:textId="5CC19CE2" w:rsidR="00012B8F" w:rsidRPr="0077073D" w:rsidRDefault="008074E7"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5</w:t>
            </w:r>
            <w:r w:rsidR="00012B8F">
              <w:rPr>
                <w:rFonts w:ascii="Arial" w:eastAsia="Times New Roman" w:hAnsi="Arial" w:cs="Arial"/>
                <w:sz w:val="20"/>
                <w:szCs w:val="20"/>
                <w:lang w:eastAsia="en-GB"/>
              </w:rPr>
              <w:t>%</w:t>
            </w:r>
          </w:p>
        </w:tc>
      </w:tr>
      <w:tr w:rsidR="00A578AB" w:rsidRPr="0077073D" w14:paraId="65D24F56" w14:textId="77777777" w:rsidTr="00A578AB">
        <w:trPr>
          <w:trHeight w:val="255"/>
        </w:trPr>
        <w:tc>
          <w:tcPr>
            <w:tcW w:w="5669" w:type="dxa"/>
            <w:tcMar>
              <w:top w:w="0" w:type="dxa"/>
              <w:left w:w="108" w:type="dxa"/>
              <w:bottom w:w="0" w:type="dxa"/>
              <w:right w:w="108" w:type="dxa"/>
            </w:tcMar>
            <w:vAlign w:val="center"/>
          </w:tcPr>
          <w:p w14:paraId="0809BD41" w14:textId="0014BCCF" w:rsidR="00012B8F" w:rsidRPr="0077073D" w:rsidRDefault="00767C9C"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Adjusted </w:t>
            </w:r>
            <w:r w:rsidR="00012B8F">
              <w:rPr>
                <w:rFonts w:ascii="Arial" w:eastAsia="Times New Roman" w:hAnsi="Arial" w:cs="Arial"/>
                <w:sz w:val="20"/>
                <w:szCs w:val="20"/>
                <w:lang w:eastAsia="en-GB"/>
              </w:rPr>
              <w:t>EBITDA</w:t>
            </w:r>
            <w:r w:rsidR="00012B8F" w:rsidRPr="00863469">
              <w:rPr>
                <w:rFonts w:ascii="Arial" w:eastAsia="Times New Roman" w:hAnsi="Arial" w:cs="Arial"/>
                <w:sz w:val="20"/>
                <w:szCs w:val="20"/>
                <w:vertAlign w:val="superscript"/>
                <w:lang w:eastAsia="en-GB"/>
              </w:rPr>
              <w:t>1,2</w:t>
            </w:r>
          </w:p>
        </w:tc>
        <w:tc>
          <w:tcPr>
            <w:tcW w:w="1361" w:type="dxa"/>
            <w:tcMar>
              <w:top w:w="0" w:type="dxa"/>
              <w:left w:w="108" w:type="dxa"/>
              <w:bottom w:w="0" w:type="dxa"/>
              <w:right w:w="108" w:type="dxa"/>
            </w:tcMar>
            <w:vAlign w:val="center"/>
          </w:tcPr>
          <w:p w14:paraId="78AE1A29" w14:textId="5087DA38" w:rsidR="00012B8F" w:rsidRDefault="008074E7"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£49.0m</w:t>
            </w:r>
          </w:p>
        </w:tc>
        <w:tc>
          <w:tcPr>
            <w:tcW w:w="1361" w:type="dxa"/>
            <w:tcMar>
              <w:top w:w="0" w:type="dxa"/>
              <w:left w:w="108" w:type="dxa"/>
              <w:bottom w:w="0" w:type="dxa"/>
              <w:right w:w="108" w:type="dxa"/>
            </w:tcMar>
            <w:vAlign w:val="center"/>
          </w:tcPr>
          <w:p w14:paraId="4A2E95E6" w14:textId="41F2D910" w:rsidR="00012B8F" w:rsidRDefault="008074E7"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£51.3m</w:t>
            </w:r>
          </w:p>
        </w:tc>
        <w:tc>
          <w:tcPr>
            <w:tcW w:w="1281" w:type="dxa"/>
            <w:tcMar>
              <w:top w:w="0" w:type="dxa"/>
              <w:left w:w="108" w:type="dxa"/>
              <w:bottom w:w="0" w:type="dxa"/>
              <w:right w:w="108" w:type="dxa"/>
            </w:tcMar>
            <w:vAlign w:val="center"/>
          </w:tcPr>
          <w:p w14:paraId="78396DE5" w14:textId="71825D9B" w:rsidR="00012B8F" w:rsidRDefault="008074E7"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gramStart"/>
            <w:r>
              <w:rPr>
                <w:rFonts w:ascii="Arial" w:eastAsia="Times New Roman" w:hAnsi="Arial" w:cs="Arial"/>
                <w:sz w:val="20"/>
                <w:szCs w:val="20"/>
                <w:lang w:eastAsia="en-GB"/>
              </w:rPr>
              <w:t>4)%</w:t>
            </w:r>
            <w:proofErr w:type="gramEnd"/>
          </w:p>
        </w:tc>
      </w:tr>
      <w:tr w:rsidR="00A578AB" w:rsidRPr="0077073D" w14:paraId="273AAA8D" w14:textId="77777777" w:rsidTr="00F72BA1">
        <w:trPr>
          <w:trHeight w:val="255"/>
        </w:trPr>
        <w:tc>
          <w:tcPr>
            <w:tcW w:w="5669" w:type="dxa"/>
            <w:tcMar>
              <w:top w:w="0" w:type="dxa"/>
              <w:left w:w="108" w:type="dxa"/>
              <w:bottom w:w="0" w:type="dxa"/>
              <w:right w:w="108" w:type="dxa"/>
            </w:tcMar>
            <w:vAlign w:val="center"/>
          </w:tcPr>
          <w:p w14:paraId="3BC69B6A" w14:textId="225DD777" w:rsidR="00012B8F" w:rsidRPr="00863469" w:rsidRDefault="00767C9C" w:rsidP="00334948">
            <w:pPr>
              <w:spacing w:after="0" w:line="240" w:lineRule="auto"/>
              <w:rPr>
                <w:rFonts w:ascii="Arial" w:eastAsia="Times New Roman" w:hAnsi="Arial" w:cs="Arial"/>
                <w:i/>
                <w:iCs/>
                <w:sz w:val="20"/>
                <w:szCs w:val="20"/>
                <w:lang w:eastAsia="en-GB"/>
              </w:rPr>
            </w:pPr>
            <w:r w:rsidRPr="00863469">
              <w:rPr>
                <w:rFonts w:ascii="Arial" w:eastAsia="Times New Roman" w:hAnsi="Arial" w:cs="Arial"/>
                <w:i/>
                <w:iCs/>
                <w:sz w:val="20"/>
                <w:szCs w:val="20"/>
                <w:lang w:eastAsia="en-GB"/>
              </w:rPr>
              <w:t xml:space="preserve">Adjusted </w:t>
            </w:r>
            <w:r w:rsidR="00012B8F" w:rsidRPr="00863469">
              <w:rPr>
                <w:rFonts w:ascii="Arial" w:eastAsia="Times New Roman" w:hAnsi="Arial" w:cs="Arial"/>
                <w:i/>
                <w:iCs/>
                <w:sz w:val="20"/>
                <w:szCs w:val="20"/>
                <w:lang w:eastAsia="en-GB"/>
              </w:rPr>
              <w:t>EBITDA margin</w:t>
            </w:r>
            <w:r w:rsidR="00012B8F" w:rsidRPr="00863469">
              <w:rPr>
                <w:rFonts w:ascii="Arial" w:eastAsia="Times New Roman" w:hAnsi="Arial" w:cs="Arial"/>
                <w:i/>
                <w:iCs/>
                <w:sz w:val="20"/>
                <w:szCs w:val="20"/>
                <w:vertAlign w:val="superscript"/>
                <w:lang w:eastAsia="en-GB"/>
              </w:rPr>
              <w:t>1,2</w:t>
            </w:r>
          </w:p>
        </w:tc>
        <w:tc>
          <w:tcPr>
            <w:tcW w:w="1361" w:type="dxa"/>
            <w:tcMar>
              <w:top w:w="0" w:type="dxa"/>
              <w:left w:w="108" w:type="dxa"/>
              <w:bottom w:w="0" w:type="dxa"/>
              <w:right w:w="108" w:type="dxa"/>
            </w:tcMar>
            <w:vAlign w:val="center"/>
          </w:tcPr>
          <w:p w14:paraId="4D45079A" w14:textId="0184C4E3" w:rsidR="00012B8F" w:rsidRPr="00863469" w:rsidRDefault="008074E7" w:rsidP="00334948">
            <w:pPr>
              <w:spacing w:after="0" w:line="240" w:lineRule="auto"/>
              <w:rPr>
                <w:rFonts w:ascii="Arial" w:eastAsia="Times New Roman" w:hAnsi="Arial" w:cs="Arial"/>
                <w:i/>
                <w:iCs/>
                <w:sz w:val="20"/>
                <w:szCs w:val="20"/>
                <w:lang w:eastAsia="en-GB"/>
              </w:rPr>
            </w:pPr>
            <w:r w:rsidRPr="00863469">
              <w:rPr>
                <w:rFonts w:ascii="Arial" w:eastAsia="Times New Roman" w:hAnsi="Arial" w:cs="Arial"/>
                <w:i/>
                <w:iCs/>
                <w:sz w:val="20"/>
                <w:szCs w:val="20"/>
                <w:lang w:eastAsia="en-GB"/>
              </w:rPr>
              <w:t>12.2%</w:t>
            </w:r>
          </w:p>
        </w:tc>
        <w:tc>
          <w:tcPr>
            <w:tcW w:w="1361" w:type="dxa"/>
            <w:tcMar>
              <w:top w:w="0" w:type="dxa"/>
              <w:left w:w="108" w:type="dxa"/>
              <w:bottom w:w="0" w:type="dxa"/>
              <w:right w:w="108" w:type="dxa"/>
            </w:tcMar>
            <w:vAlign w:val="center"/>
          </w:tcPr>
          <w:p w14:paraId="6C416D78" w14:textId="50AC09AF" w:rsidR="00012B8F" w:rsidRPr="00863469" w:rsidRDefault="008074E7" w:rsidP="00334948">
            <w:pPr>
              <w:spacing w:after="0" w:line="240" w:lineRule="auto"/>
              <w:rPr>
                <w:rFonts w:ascii="Arial" w:eastAsia="Times New Roman" w:hAnsi="Arial" w:cs="Arial"/>
                <w:i/>
                <w:iCs/>
                <w:sz w:val="20"/>
                <w:szCs w:val="20"/>
                <w:lang w:eastAsia="en-GB"/>
              </w:rPr>
            </w:pPr>
            <w:r w:rsidRPr="00863469">
              <w:rPr>
                <w:rFonts w:ascii="Arial" w:eastAsia="Times New Roman" w:hAnsi="Arial" w:cs="Arial"/>
                <w:i/>
                <w:iCs/>
                <w:sz w:val="20"/>
                <w:szCs w:val="20"/>
                <w:lang w:eastAsia="en-GB"/>
              </w:rPr>
              <w:t>13.4%</w:t>
            </w:r>
          </w:p>
        </w:tc>
        <w:tc>
          <w:tcPr>
            <w:tcW w:w="1281" w:type="dxa"/>
            <w:tcMar>
              <w:top w:w="0" w:type="dxa"/>
              <w:left w:w="108" w:type="dxa"/>
              <w:bottom w:w="0" w:type="dxa"/>
              <w:right w:w="108" w:type="dxa"/>
            </w:tcMar>
            <w:vAlign w:val="center"/>
          </w:tcPr>
          <w:p w14:paraId="25117C39" w14:textId="158918B1" w:rsidR="00012B8F" w:rsidRPr="00863469" w:rsidRDefault="008074E7" w:rsidP="00334948">
            <w:pPr>
              <w:spacing w:after="0" w:line="240" w:lineRule="auto"/>
              <w:rPr>
                <w:rFonts w:ascii="Arial" w:eastAsia="Times New Roman" w:hAnsi="Arial" w:cs="Arial"/>
                <w:i/>
                <w:iCs/>
                <w:sz w:val="20"/>
                <w:szCs w:val="20"/>
                <w:lang w:eastAsia="en-GB"/>
              </w:rPr>
            </w:pPr>
            <w:r w:rsidRPr="00863469">
              <w:rPr>
                <w:rFonts w:ascii="Arial" w:eastAsia="Times New Roman" w:hAnsi="Arial" w:cs="Arial"/>
                <w:i/>
                <w:iCs/>
                <w:sz w:val="20"/>
                <w:szCs w:val="20"/>
                <w:lang w:eastAsia="en-GB"/>
              </w:rPr>
              <w:t>(</w:t>
            </w:r>
            <w:proofErr w:type="gramStart"/>
            <w:r w:rsidRPr="00863469">
              <w:rPr>
                <w:rFonts w:ascii="Arial" w:eastAsia="Times New Roman" w:hAnsi="Arial" w:cs="Arial"/>
                <w:i/>
                <w:iCs/>
                <w:sz w:val="20"/>
                <w:szCs w:val="20"/>
                <w:lang w:eastAsia="en-GB"/>
              </w:rPr>
              <w:t>120)bps</w:t>
            </w:r>
            <w:proofErr w:type="gramEnd"/>
          </w:p>
        </w:tc>
      </w:tr>
      <w:tr w:rsidR="008074E7" w:rsidRPr="0077073D" w14:paraId="5B12E398" w14:textId="77777777" w:rsidTr="00F72BA1">
        <w:trPr>
          <w:trHeight w:val="255"/>
        </w:trPr>
        <w:tc>
          <w:tcPr>
            <w:tcW w:w="5669" w:type="dxa"/>
            <w:tcBorders>
              <w:bottom w:val="single" w:sz="4" w:space="0" w:color="auto"/>
            </w:tcBorders>
            <w:tcMar>
              <w:top w:w="0" w:type="dxa"/>
              <w:left w:w="108" w:type="dxa"/>
              <w:bottom w:w="0" w:type="dxa"/>
              <w:right w:w="108" w:type="dxa"/>
            </w:tcMar>
            <w:vAlign w:val="center"/>
            <w:hideMark/>
          </w:tcPr>
          <w:p w14:paraId="5E5A5ACB" w14:textId="376D98D0" w:rsidR="00012B8F" w:rsidRPr="0077073D" w:rsidRDefault="00767C9C"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Adjusted o</w:t>
            </w:r>
            <w:r w:rsidR="00012B8F" w:rsidRPr="0077073D">
              <w:rPr>
                <w:rFonts w:ascii="Arial" w:eastAsia="Times New Roman" w:hAnsi="Arial" w:cs="Arial"/>
                <w:sz w:val="20"/>
                <w:szCs w:val="20"/>
                <w:lang w:eastAsia="en-GB"/>
              </w:rPr>
              <w:t>perating profit</w:t>
            </w:r>
            <w:r w:rsidR="00012B8F" w:rsidRPr="0077073D">
              <w:rPr>
                <w:rFonts w:ascii="Arial" w:eastAsia="Times New Roman" w:hAnsi="Arial" w:cs="Arial"/>
                <w:sz w:val="20"/>
                <w:szCs w:val="20"/>
                <w:vertAlign w:val="superscript"/>
                <w:lang w:eastAsia="en-GB"/>
              </w:rPr>
              <w:t>2</w:t>
            </w:r>
          </w:p>
        </w:tc>
        <w:tc>
          <w:tcPr>
            <w:tcW w:w="1361" w:type="dxa"/>
            <w:tcBorders>
              <w:bottom w:val="single" w:sz="4" w:space="0" w:color="auto"/>
            </w:tcBorders>
            <w:tcMar>
              <w:top w:w="0" w:type="dxa"/>
              <w:left w:w="108" w:type="dxa"/>
              <w:bottom w:w="0" w:type="dxa"/>
              <w:right w:w="108" w:type="dxa"/>
            </w:tcMar>
            <w:vAlign w:val="center"/>
          </w:tcPr>
          <w:p w14:paraId="4B5A042C" w14:textId="231AF7B4" w:rsidR="00012B8F" w:rsidRPr="0077073D" w:rsidRDefault="00012B8F"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£32.</w:t>
            </w:r>
            <w:r w:rsidR="008074E7">
              <w:rPr>
                <w:rFonts w:ascii="Arial" w:eastAsia="Times New Roman" w:hAnsi="Arial" w:cs="Arial"/>
                <w:sz w:val="20"/>
                <w:szCs w:val="20"/>
                <w:lang w:eastAsia="en-GB"/>
              </w:rPr>
              <w:t>1</w:t>
            </w:r>
            <w:r>
              <w:rPr>
                <w:rFonts w:ascii="Arial" w:eastAsia="Times New Roman" w:hAnsi="Arial" w:cs="Arial"/>
                <w:sz w:val="20"/>
                <w:szCs w:val="20"/>
                <w:lang w:eastAsia="en-GB"/>
              </w:rPr>
              <w:t>m</w:t>
            </w:r>
          </w:p>
        </w:tc>
        <w:tc>
          <w:tcPr>
            <w:tcW w:w="1361" w:type="dxa"/>
            <w:tcBorders>
              <w:bottom w:val="single" w:sz="4" w:space="0" w:color="auto"/>
            </w:tcBorders>
            <w:tcMar>
              <w:top w:w="0" w:type="dxa"/>
              <w:left w:w="108" w:type="dxa"/>
              <w:bottom w:w="0" w:type="dxa"/>
              <w:right w:w="108" w:type="dxa"/>
            </w:tcMar>
            <w:vAlign w:val="center"/>
          </w:tcPr>
          <w:p w14:paraId="575EF170" w14:textId="4B86490B" w:rsidR="00012B8F" w:rsidRPr="0077073D" w:rsidRDefault="00012B8F"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£3</w:t>
            </w:r>
            <w:r w:rsidR="008074E7">
              <w:rPr>
                <w:rFonts w:ascii="Arial" w:eastAsia="Times New Roman" w:hAnsi="Arial" w:cs="Arial"/>
                <w:sz w:val="20"/>
                <w:szCs w:val="20"/>
                <w:lang w:eastAsia="en-GB"/>
              </w:rPr>
              <w:t>6.0</w:t>
            </w:r>
            <w:r>
              <w:rPr>
                <w:rFonts w:ascii="Arial" w:eastAsia="Times New Roman" w:hAnsi="Arial" w:cs="Arial"/>
                <w:sz w:val="20"/>
                <w:szCs w:val="20"/>
                <w:lang w:eastAsia="en-GB"/>
              </w:rPr>
              <w:t>m</w:t>
            </w:r>
          </w:p>
        </w:tc>
        <w:tc>
          <w:tcPr>
            <w:tcW w:w="1281" w:type="dxa"/>
            <w:tcBorders>
              <w:bottom w:val="single" w:sz="4" w:space="0" w:color="auto"/>
            </w:tcBorders>
            <w:tcMar>
              <w:top w:w="0" w:type="dxa"/>
              <w:left w:w="108" w:type="dxa"/>
              <w:bottom w:w="0" w:type="dxa"/>
              <w:right w:w="108" w:type="dxa"/>
            </w:tcMar>
            <w:vAlign w:val="center"/>
          </w:tcPr>
          <w:p w14:paraId="70612D47" w14:textId="15B6616C" w:rsidR="00012B8F" w:rsidRPr="0077073D" w:rsidRDefault="00012B8F" w:rsidP="0033494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gramStart"/>
            <w:r>
              <w:rPr>
                <w:rFonts w:ascii="Arial" w:eastAsia="Times New Roman" w:hAnsi="Arial" w:cs="Arial"/>
                <w:sz w:val="20"/>
                <w:szCs w:val="20"/>
                <w:lang w:eastAsia="en-GB"/>
              </w:rPr>
              <w:t>1</w:t>
            </w:r>
            <w:r w:rsidR="008074E7">
              <w:rPr>
                <w:rFonts w:ascii="Arial" w:eastAsia="Times New Roman" w:hAnsi="Arial" w:cs="Arial"/>
                <w:sz w:val="20"/>
                <w:szCs w:val="20"/>
                <w:lang w:eastAsia="en-GB"/>
              </w:rPr>
              <w:t>1</w:t>
            </w:r>
            <w:r>
              <w:rPr>
                <w:rFonts w:ascii="Arial" w:eastAsia="Times New Roman" w:hAnsi="Arial" w:cs="Arial"/>
                <w:sz w:val="20"/>
                <w:szCs w:val="20"/>
                <w:lang w:eastAsia="en-GB"/>
              </w:rPr>
              <w:t>)%</w:t>
            </w:r>
            <w:proofErr w:type="gramEnd"/>
          </w:p>
        </w:tc>
      </w:tr>
    </w:tbl>
    <w:p w14:paraId="1C1AF3C0" w14:textId="77777777" w:rsidR="008074E7" w:rsidRDefault="008074E7" w:rsidP="00772E92">
      <w:pPr>
        <w:spacing w:after="0" w:line="240" w:lineRule="auto"/>
        <w:jc w:val="both"/>
        <w:rPr>
          <w:rFonts w:ascii="Arial" w:eastAsia="Times New Roman" w:hAnsi="Arial" w:cs="Arial"/>
          <w:color w:val="000000"/>
          <w:sz w:val="20"/>
          <w:szCs w:val="20"/>
          <w:lang w:eastAsia="en-GB"/>
        </w:rPr>
      </w:pPr>
    </w:p>
    <w:p w14:paraId="5C143F9A" w14:textId="77777777" w:rsidR="00F357FD" w:rsidRDefault="00F357FD" w:rsidP="008F2842">
      <w:pPr>
        <w:spacing w:after="0" w:line="253" w:lineRule="atLeast"/>
        <w:rPr>
          <w:rFonts w:ascii="Arial" w:eastAsia="Times New Roman" w:hAnsi="Arial" w:cs="Arial"/>
          <w:i/>
          <w:iCs/>
          <w:color w:val="000000"/>
          <w:sz w:val="20"/>
          <w:szCs w:val="20"/>
          <w:lang w:eastAsia="en-GB"/>
        </w:rPr>
      </w:pPr>
    </w:p>
    <w:tbl>
      <w:tblPr>
        <w:tblW w:w="8391" w:type="dxa"/>
        <w:tblCellMar>
          <w:left w:w="0" w:type="dxa"/>
          <w:right w:w="0" w:type="dxa"/>
        </w:tblCellMar>
        <w:tblLook w:val="04A0" w:firstRow="1" w:lastRow="0" w:firstColumn="1" w:lastColumn="0" w:noHBand="0" w:noVBand="1"/>
      </w:tblPr>
      <w:tblGrid>
        <w:gridCol w:w="5669"/>
        <w:gridCol w:w="1361"/>
        <w:gridCol w:w="1361"/>
      </w:tblGrid>
      <w:tr w:rsidR="00C5315A" w:rsidRPr="0077073D" w14:paraId="4ED38385" w14:textId="77777777" w:rsidTr="00F72BA1">
        <w:trPr>
          <w:trHeight w:val="258"/>
        </w:trPr>
        <w:tc>
          <w:tcPr>
            <w:tcW w:w="5669" w:type="dxa"/>
            <w:tcBorders>
              <w:top w:val="nil"/>
              <w:left w:val="nil"/>
              <w:bottom w:val="single" w:sz="8" w:space="0" w:color="auto"/>
              <w:right w:val="nil"/>
            </w:tcBorders>
            <w:tcMar>
              <w:top w:w="0" w:type="dxa"/>
              <w:left w:w="108" w:type="dxa"/>
              <w:bottom w:w="0" w:type="dxa"/>
              <w:right w:w="108" w:type="dxa"/>
            </w:tcMar>
            <w:vAlign w:val="bottom"/>
            <w:hideMark/>
          </w:tcPr>
          <w:p w14:paraId="7A541417" w14:textId="4C0E1C43" w:rsidR="00C5315A" w:rsidRPr="0077073D" w:rsidRDefault="00C5315A" w:rsidP="00B81C3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STATUTORY </w:t>
            </w:r>
            <w:r w:rsidRPr="0077073D">
              <w:rPr>
                <w:rFonts w:ascii="Arial" w:eastAsia="Times New Roman" w:hAnsi="Arial" w:cs="Arial"/>
                <w:b/>
                <w:bCs/>
                <w:sz w:val="20"/>
                <w:szCs w:val="20"/>
                <w:lang w:eastAsia="en-GB"/>
              </w:rPr>
              <w:t xml:space="preserve">RESULTS </w:t>
            </w:r>
            <w:r>
              <w:rPr>
                <w:rFonts w:ascii="Arial" w:eastAsia="Times New Roman" w:hAnsi="Arial" w:cs="Arial"/>
                <w:b/>
                <w:bCs/>
                <w:sz w:val="20"/>
                <w:szCs w:val="20"/>
                <w:lang w:eastAsia="en-GB"/>
              </w:rPr>
              <w:t>– CONTINUING OPERATIONS</w:t>
            </w:r>
          </w:p>
        </w:tc>
        <w:tc>
          <w:tcPr>
            <w:tcW w:w="1361" w:type="dxa"/>
            <w:tcBorders>
              <w:top w:val="nil"/>
              <w:left w:val="nil"/>
              <w:bottom w:val="single" w:sz="8" w:space="0" w:color="auto"/>
              <w:right w:val="nil"/>
            </w:tcBorders>
            <w:tcMar>
              <w:top w:w="0" w:type="dxa"/>
              <w:left w:w="108" w:type="dxa"/>
              <w:bottom w:w="0" w:type="dxa"/>
              <w:right w:w="108" w:type="dxa"/>
            </w:tcMar>
            <w:vAlign w:val="bottom"/>
            <w:hideMark/>
          </w:tcPr>
          <w:p w14:paraId="0693BE5B" w14:textId="77777777" w:rsidR="00C5315A" w:rsidRPr="00D62015" w:rsidRDefault="00C5315A" w:rsidP="00B81C33">
            <w:pPr>
              <w:spacing w:after="0" w:line="240" w:lineRule="auto"/>
              <w:rPr>
                <w:rFonts w:ascii="Arial" w:eastAsia="Times New Roman" w:hAnsi="Arial" w:cs="Arial"/>
                <w:b/>
                <w:bCs/>
                <w:sz w:val="20"/>
                <w:szCs w:val="20"/>
                <w:lang w:eastAsia="en-GB"/>
              </w:rPr>
            </w:pPr>
            <w:r w:rsidRPr="00D62015">
              <w:rPr>
                <w:rFonts w:ascii="Arial" w:eastAsia="Times New Roman" w:hAnsi="Arial" w:cs="Arial"/>
                <w:b/>
                <w:bCs/>
                <w:sz w:val="20"/>
                <w:szCs w:val="20"/>
                <w:lang w:eastAsia="en-GB"/>
              </w:rPr>
              <w:t>FY24</w:t>
            </w:r>
          </w:p>
        </w:tc>
        <w:tc>
          <w:tcPr>
            <w:tcW w:w="1361" w:type="dxa"/>
            <w:tcBorders>
              <w:top w:val="nil"/>
              <w:left w:val="nil"/>
              <w:bottom w:val="single" w:sz="8" w:space="0" w:color="auto"/>
              <w:right w:val="nil"/>
            </w:tcBorders>
            <w:tcMar>
              <w:top w:w="0" w:type="dxa"/>
              <w:left w:w="108" w:type="dxa"/>
              <w:bottom w:w="0" w:type="dxa"/>
              <w:right w:w="108" w:type="dxa"/>
            </w:tcMar>
            <w:vAlign w:val="bottom"/>
            <w:hideMark/>
          </w:tcPr>
          <w:p w14:paraId="6CFA503E" w14:textId="77777777" w:rsidR="00C5315A" w:rsidRPr="00D62015" w:rsidRDefault="00C5315A" w:rsidP="00B81C33">
            <w:pPr>
              <w:spacing w:after="0" w:line="240" w:lineRule="auto"/>
              <w:rPr>
                <w:rFonts w:ascii="Arial" w:eastAsia="Times New Roman" w:hAnsi="Arial" w:cs="Arial"/>
                <w:b/>
                <w:bCs/>
                <w:sz w:val="20"/>
                <w:szCs w:val="20"/>
                <w:lang w:eastAsia="en-GB"/>
              </w:rPr>
            </w:pPr>
            <w:r w:rsidRPr="00D62015">
              <w:rPr>
                <w:rFonts w:ascii="Arial" w:eastAsia="Times New Roman" w:hAnsi="Arial" w:cs="Arial"/>
                <w:b/>
                <w:bCs/>
                <w:sz w:val="20"/>
                <w:szCs w:val="20"/>
                <w:lang w:eastAsia="en-GB"/>
              </w:rPr>
              <w:t>FY23</w:t>
            </w:r>
          </w:p>
        </w:tc>
      </w:tr>
      <w:tr w:rsidR="00C5315A" w:rsidRPr="0077073D" w14:paraId="3D49CA25" w14:textId="77777777" w:rsidTr="00F72BA1">
        <w:trPr>
          <w:trHeight w:val="258"/>
        </w:trPr>
        <w:tc>
          <w:tcPr>
            <w:tcW w:w="5669" w:type="dxa"/>
            <w:tcMar>
              <w:top w:w="0" w:type="dxa"/>
              <w:left w:w="108" w:type="dxa"/>
              <w:bottom w:w="0" w:type="dxa"/>
              <w:right w:w="108" w:type="dxa"/>
            </w:tcMar>
            <w:vAlign w:val="center"/>
            <w:hideMark/>
          </w:tcPr>
          <w:p w14:paraId="236970C4" w14:textId="77777777" w:rsidR="00C5315A" w:rsidRPr="0077073D" w:rsidRDefault="00C5315A" w:rsidP="00B81C33">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361" w:type="dxa"/>
            <w:tcMar>
              <w:top w:w="0" w:type="dxa"/>
              <w:left w:w="108" w:type="dxa"/>
              <w:bottom w:w="0" w:type="dxa"/>
              <w:right w:w="108" w:type="dxa"/>
            </w:tcMar>
            <w:vAlign w:val="center"/>
            <w:hideMark/>
          </w:tcPr>
          <w:p w14:paraId="1F17D4D0" w14:textId="77777777" w:rsidR="00C5315A" w:rsidRPr="0077073D" w:rsidRDefault="00C5315A" w:rsidP="00B81C33">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c>
          <w:tcPr>
            <w:tcW w:w="1361" w:type="dxa"/>
            <w:tcMar>
              <w:top w:w="0" w:type="dxa"/>
              <w:left w:w="108" w:type="dxa"/>
              <w:bottom w:w="0" w:type="dxa"/>
              <w:right w:w="108" w:type="dxa"/>
            </w:tcMar>
            <w:vAlign w:val="center"/>
            <w:hideMark/>
          </w:tcPr>
          <w:p w14:paraId="704BFF95" w14:textId="77777777" w:rsidR="00C5315A" w:rsidRPr="0077073D" w:rsidRDefault="00C5315A" w:rsidP="00B81C33">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 </w:t>
            </w:r>
          </w:p>
        </w:tc>
      </w:tr>
      <w:tr w:rsidR="00C5315A" w:rsidRPr="0077073D" w14:paraId="18F481D6" w14:textId="77777777" w:rsidTr="00F72BA1">
        <w:trPr>
          <w:trHeight w:val="255"/>
        </w:trPr>
        <w:tc>
          <w:tcPr>
            <w:tcW w:w="5669" w:type="dxa"/>
            <w:tcMar>
              <w:top w:w="0" w:type="dxa"/>
              <w:left w:w="108" w:type="dxa"/>
              <w:bottom w:w="0" w:type="dxa"/>
              <w:right w:w="108" w:type="dxa"/>
            </w:tcMar>
            <w:vAlign w:val="center"/>
            <w:hideMark/>
          </w:tcPr>
          <w:p w14:paraId="52DCB7EB" w14:textId="77777777" w:rsidR="00C5315A" w:rsidRPr="0077073D" w:rsidRDefault="00C5315A" w:rsidP="00B81C33">
            <w:pPr>
              <w:spacing w:after="0" w:line="240" w:lineRule="auto"/>
              <w:rPr>
                <w:rFonts w:ascii="Arial" w:eastAsia="Times New Roman" w:hAnsi="Arial" w:cs="Arial"/>
                <w:sz w:val="20"/>
                <w:szCs w:val="20"/>
                <w:lang w:eastAsia="en-GB"/>
              </w:rPr>
            </w:pPr>
            <w:r w:rsidRPr="0077073D">
              <w:rPr>
                <w:rFonts w:ascii="Arial" w:eastAsia="Times New Roman" w:hAnsi="Arial" w:cs="Arial"/>
                <w:sz w:val="20"/>
                <w:szCs w:val="20"/>
                <w:lang w:eastAsia="en-GB"/>
              </w:rPr>
              <w:t>Revenue</w:t>
            </w:r>
          </w:p>
        </w:tc>
        <w:tc>
          <w:tcPr>
            <w:tcW w:w="1361" w:type="dxa"/>
            <w:tcMar>
              <w:top w:w="0" w:type="dxa"/>
              <w:left w:w="108" w:type="dxa"/>
              <w:bottom w:w="0" w:type="dxa"/>
              <w:right w:w="108" w:type="dxa"/>
            </w:tcMar>
            <w:vAlign w:val="center"/>
          </w:tcPr>
          <w:p w14:paraId="7888A156" w14:textId="77777777" w:rsidR="00C5315A" w:rsidRPr="0077073D" w:rsidRDefault="00C5315A" w:rsidP="00B81C3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£402.9m</w:t>
            </w:r>
          </w:p>
        </w:tc>
        <w:tc>
          <w:tcPr>
            <w:tcW w:w="1361" w:type="dxa"/>
            <w:tcMar>
              <w:top w:w="0" w:type="dxa"/>
              <w:left w:w="108" w:type="dxa"/>
              <w:bottom w:w="0" w:type="dxa"/>
              <w:right w:w="108" w:type="dxa"/>
            </w:tcMar>
            <w:vAlign w:val="center"/>
          </w:tcPr>
          <w:p w14:paraId="2CA260D2" w14:textId="77777777" w:rsidR="00C5315A" w:rsidRPr="0077073D" w:rsidRDefault="00C5315A" w:rsidP="00B81C3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£381.9m</w:t>
            </w:r>
          </w:p>
        </w:tc>
      </w:tr>
      <w:tr w:rsidR="00C5315A" w:rsidRPr="0077073D" w14:paraId="49FBE5FF" w14:textId="77777777" w:rsidTr="00F72BA1">
        <w:trPr>
          <w:trHeight w:val="255"/>
        </w:trPr>
        <w:tc>
          <w:tcPr>
            <w:tcW w:w="5669" w:type="dxa"/>
            <w:tcMar>
              <w:top w:w="0" w:type="dxa"/>
              <w:left w:w="108" w:type="dxa"/>
              <w:bottom w:w="0" w:type="dxa"/>
              <w:right w:w="108" w:type="dxa"/>
            </w:tcMar>
            <w:vAlign w:val="center"/>
          </w:tcPr>
          <w:p w14:paraId="4543647B" w14:textId="1D7CB0D2" w:rsidR="00C5315A" w:rsidRDefault="00570040" w:rsidP="00B81C3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w:t>
            </w:r>
            <w:r w:rsidR="00C5315A">
              <w:rPr>
                <w:rFonts w:ascii="Arial" w:eastAsia="Times New Roman" w:hAnsi="Arial" w:cs="Arial"/>
                <w:sz w:val="20"/>
                <w:szCs w:val="20"/>
                <w:lang w:eastAsia="en-GB"/>
              </w:rPr>
              <w:t>perating (loss)/profit</w:t>
            </w:r>
            <w:r w:rsidR="00C5315A" w:rsidRPr="00B81C33">
              <w:rPr>
                <w:rFonts w:ascii="Arial" w:eastAsia="Times New Roman" w:hAnsi="Arial" w:cs="Arial"/>
                <w:sz w:val="20"/>
                <w:szCs w:val="20"/>
                <w:vertAlign w:val="superscript"/>
                <w:lang w:eastAsia="en-GB"/>
              </w:rPr>
              <w:t>3</w:t>
            </w:r>
          </w:p>
        </w:tc>
        <w:tc>
          <w:tcPr>
            <w:tcW w:w="1361" w:type="dxa"/>
            <w:tcMar>
              <w:top w:w="0" w:type="dxa"/>
              <w:left w:w="108" w:type="dxa"/>
              <w:bottom w:w="0" w:type="dxa"/>
              <w:right w:w="108" w:type="dxa"/>
            </w:tcMar>
            <w:vAlign w:val="center"/>
          </w:tcPr>
          <w:p w14:paraId="4572A6CA" w14:textId="77777777" w:rsidR="00C5315A" w:rsidRDefault="00C5315A" w:rsidP="00B81C33">
            <w:pPr>
              <w:spacing w:after="0" w:line="240" w:lineRule="auto"/>
              <w:rPr>
                <w:rFonts w:ascii="Arial" w:eastAsia="Times New Roman" w:hAnsi="Arial" w:cs="Arial"/>
                <w:sz w:val="20"/>
                <w:szCs w:val="20"/>
                <w:lang w:eastAsia="en-GB"/>
              </w:rPr>
            </w:pPr>
            <w:proofErr w:type="gramStart"/>
            <w:r>
              <w:rPr>
                <w:rFonts w:ascii="Arial" w:eastAsia="Times New Roman" w:hAnsi="Arial" w:cs="Arial"/>
                <w:sz w:val="20"/>
                <w:szCs w:val="20"/>
                <w:lang w:eastAsia="en-GB"/>
              </w:rPr>
              <w:t>£(</w:t>
            </w:r>
            <w:proofErr w:type="gramEnd"/>
            <w:r>
              <w:rPr>
                <w:rFonts w:ascii="Arial" w:eastAsia="Times New Roman" w:hAnsi="Arial" w:cs="Arial"/>
                <w:sz w:val="20"/>
                <w:szCs w:val="20"/>
                <w:lang w:eastAsia="en-GB"/>
              </w:rPr>
              <w:t>5.0)m</w:t>
            </w:r>
          </w:p>
        </w:tc>
        <w:tc>
          <w:tcPr>
            <w:tcW w:w="1361" w:type="dxa"/>
            <w:tcMar>
              <w:top w:w="0" w:type="dxa"/>
              <w:left w:w="108" w:type="dxa"/>
              <w:bottom w:w="0" w:type="dxa"/>
              <w:right w:w="108" w:type="dxa"/>
            </w:tcMar>
            <w:vAlign w:val="center"/>
          </w:tcPr>
          <w:p w14:paraId="5A7560A2" w14:textId="77777777" w:rsidR="00C5315A" w:rsidRDefault="00C5315A" w:rsidP="00B81C3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£3.3m</w:t>
            </w:r>
          </w:p>
        </w:tc>
      </w:tr>
      <w:tr w:rsidR="00570040" w:rsidRPr="0077073D" w14:paraId="0257141C" w14:textId="77777777" w:rsidTr="006673F1">
        <w:trPr>
          <w:trHeight w:val="255"/>
        </w:trPr>
        <w:tc>
          <w:tcPr>
            <w:tcW w:w="5669" w:type="dxa"/>
            <w:tcMar>
              <w:top w:w="0" w:type="dxa"/>
              <w:left w:w="108" w:type="dxa"/>
              <w:bottom w:w="0" w:type="dxa"/>
              <w:right w:w="108" w:type="dxa"/>
            </w:tcMar>
            <w:vAlign w:val="center"/>
          </w:tcPr>
          <w:p w14:paraId="2171D7F8" w14:textId="0E6B859E" w:rsidR="00570040" w:rsidRDefault="00570040" w:rsidP="00B81C3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(Loss) before tax</w:t>
            </w:r>
            <w:r w:rsidRPr="00B81C33">
              <w:rPr>
                <w:rFonts w:ascii="Arial" w:eastAsia="Times New Roman" w:hAnsi="Arial" w:cs="Arial"/>
                <w:sz w:val="20"/>
                <w:szCs w:val="20"/>
                <w:vertAlign w:val="superscript"/>
                <w:lang w:eastAsia="en-GB"/>
              </w:rPr>
              <w:t>3</w:t>
            </w:r>
          </w:p>
        </w:tc>
        <w:tc>
          <w:tcPr>
            <w:tcW w:w="1361" w:type="dxa"/>
            <w:tcMar>
              <w:top w:w="0" w:type="dxa"/>
              <w:left w:w="108" w:type="dxa"/>
              <w:bottom w:w="0" w:type="dxa"/>
              <w:right w:w="108" w:type="dxa"/>
            </w:tcMar>
            <w:vAlign w:val="center"/>
          </w:tcPr>
          <w:p w14:paraId="2776FF04" w14:textId="3DFEF98C" w:rsidR="00570040" w:rsidRDefault="00570040" w:rsidP="00B81C33">
            <w:pPr>
              <w:spacing w:after="0" w:line="240" w:lineRule="auto"/>
              <w:rPr>
                <w:rFonts w:ascii="Arial" w:eastAsia="Times New Roman" w:hAnsi="Arial" w:cs="Arial"/>
                <w:sz w:val="20"/>
                <w:szCs w:val="20"/>
                <w:lang w:eastAsia="en-GB"/>
              </w:rPr>
            </w:pPr>
            <w:proofErr w:type="gramStart"/>
            <w:r>
              <w:rPr>
                <w:rFonts w:ascii="Arial" w:eastAsia="Times New Roman" w:hAnsi="Arial" w:cs="Arial"/>
                <w:sz w:val="20"/>
                <w:szCs w:val="20"/>
                <w:lang w:eastAsia="en-GB"/>
              </w:rPr>
              <w:t>£(</w:t>
            </w:r>
            <w:proofErr w:type="gramEnd"/>
            <w:r>
              <w:rPr>
                <w:rFonts w:ascii="Arial" w:eastAsia="Times New Roman" w:hAnsi="Arial" w:cs="Arial"/>
                <w:sz w:val="20"/>
                <w:szCs w:val="20"/>
                <w:lang w:eastAsia="en-GB"/>
              </w:rPr>
              <w:t>16.9)m</w:t>
            </w:r>
          </w:p>
        </w:tc>
        <w:tc>
          <w:tcPr>
            <w:tcW w:w="1361" w:type="dxa"/>
            <w:tcMar>
              <w:top w:w="0" w:type="dxa"/>
              <w:left w:w="108" w:type="dxa"/>
              <w:bottom w:w="0" w:type="dxa"/>
              <w:right w:w="108" w:type="dxa"/>
            </w:tcMar>
            <w:vAlign w:val="center"/>
          </w:tcPr>
          <w:p w14:paraId="1B21FF97" w14:textId="73A7E6BC" w:rsidR="00570040" w:rsidRDefault="00570040" w:rsidP="00B81C33">
            <w:pPr>
              <w:spacing w:after="0" w:line="240" w:lineRule="auto"/>
              <w:rPr>
                <w:rFonts w:ascii="Arial" w:eastAsia="Times New Roman" w:hAnsi="Arial" w:cs="Arial"/>
                <w:sz w:val="20"/>
                <w:szCs w:val="20"/>
                <w:lang w:eastAsia="en-GB"/>
              </w:rPr>
            </w:pPr>
            <w:proofErr w:type="gramStart"/>
            <w:r>
              <w:rPr>
                <w:rFonts w:ascii="Arial" w:eastAsia="Times New Roman" w:hAnsi="Arial" w:cs="Arial"/>
                <w:sz w:val="20"/>
                <w:szCs w:val="20"/>
                <w:lang w:eastAsia="en-GB"/>
              </w:rPr>
              <w:t>£(</w:t>
            </w:r>
            <w:proofErr w:type="gramEnd"/>
            <w:r>
              <w:rPr>
                <w:rFonts w:ascii="Arial" w:eastAsia="Times New Roman" w:hAnsi="Arial" w:cs="Arial"/>
                <w:sz w:val="20"/>
                <w:szCs w:val="20"/>
                <w:lang w:eastAsia="en-GB"/>
              </w:rPr>
              <w:t>4.5)m</w:t>
            </w:r>
          </w:p>
        </w:tc>
      </w:tr>
      <w:tr w:rsidR="006673F1" w:rsidRPr="0077073D" w14:paraId="4145D022" w14:textId="77777777" w:rsidTr="00C5315A">
        <w:trPr>
          <w:trHeight w:val="255"/>
        </w:trPr>
        <w:tc>
          <w:tcPr>
            <w:tcW w:w="5669" w:type="dxa"/>
            <w:tcBorders>
              <w:bottom w:val="single" w:sz="4" w:space="0" w:color="auto"/>
            </w:tcBorders>
            <w:tcMar>
              <w:top w:w="0" w:type="dxa"/>
              <w:left w:w="108" w:type="dxa"/>
              <w:bottom w:w="0" w:type="dxa"/>
              <w:right w:w="108" w:type="dxa"/>
            </w:tcMar>
            <w:vAlign w:val="center"/>
          </w:tcPr>
          <w:p w14:paraId="2A9B07BD" w14:textId="0E7C99BB" w:rsidR="006673F1" w:rsidRDefault="006673F1" w:rsidP="00B81C33">
            <w:pPr>
              <w:spacing w:after="0" w:line="24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(Loss)</w:t>
            </w:r>
            <w:r w:rsidRPr="0077073D">
              <w:rPr>
                <w:rFonts w:ascii="Arial" w:eastAsia="Times New Roman" w:hAnsi="Arial" w:cs="Arial"/>
                <w:color w:val="000000"/>
                <w:sz w:val="20"/>
                <w:szCs w:val="20"/>
                <w:lang w:eastAsia="en-GB"/>
              </w:rPr>
              <w:t xml:space="preserve"> per share</w:t>
            </w:r>
            <w:r w:rsidRPr="0077073D">
              <w:rPr>
                <w:rFonts w:ascii="Arial" w:eastAsia="Times New Roman" w:hAnsi="Arial" w:cs="Arial"/>
                <w:sz w:val="20"/>
                <w:szCs w:val="20"/>
                <w:lang w:eastAsia="en-GB"/>
              </w:rPr>
              <w:t xml:space="preserve"> – </w:t>
            </w:r>
            <w:r w:rsidRPr="0077073D">
              <w:rPr>
                <w:rFonts w:ascii="Arial" w:eastAsia="Times New Roman" w:hAnsi="Arial" w:cs="Arial"/>
                <w:color w:val="000000"/>
                <w:sz w:val="20"/>
                <w:szCs w:val="20"/>
                <w:lang w:eastAsia="en-GB"/>
              </w:rPr>
              <w:t>basic</w:t>
            </w:r>
            <w:r w:rsidRPr="002D2661">
              <w:rPr>
                <w:rFonts w:ascii="Arial" w:eastAsia="Times New Roman" w:hAnsi="Arial" w:cs="Arial"/>
                <w:color w:val="000000"/>
                <w:sz w:val="20"/>
                <w:szCs w:val="20"/>
                <w:vertAlign w:val="superscript"/>
                <w:lang w:eastAsia="en-GB"/>
              </w:rPr>
              <w:t>3</w:t>
            </w:r>
          </w:p>
        </w:tc>
        <w:tc>
          <w:tcPr>
            <w:tcW w:w="1361" w:type="dxa"/>
            <w:tcBorders>
              <w:bottom w:val="single" w:sz="4" w:space="0" w:color="auto"/>
            </w:tcBorders>
            <w:tcMar>
              <w:top w:w="0" w:type="dxa"/>
              <w:left w:w="108" w:type="dxa"/>
              <w:bottom w:w="0" w:type="dxa"/>
              <w:right w:w="108" w:type="dxa"/>
            </w:tcMar>
            <w:vAlign w:val="center"/>
          </w:tcPr>
          <w:p w14:paraId="1884A897" w14:textId="77EBE045" w:rsidR="006673F1" w:rsidRDefault="006673F1" w:rsidP="00B81C3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gramStart"/>
            <w:r>
              <w:rPr>
                <w:rFonts w:ascii="Arial" w:eastAsia="Times New Roman" w:hAnsi="Arial" w:cs="Arial"/>
                <w:sz w:val="20"/>
                <w:szCs w:val="20"/>
                <w:lang w:eastAsia="en-GB"/>
              </w:rPr>
              <w:t>14.2)p</w:t>
            </w:r>
            <w:proofErr w:type="gramEnd"/>
          </w:p>
        </w:tc>
        <w:tc>
          <w:tcPr>
            <w:tcW w:w="1361" w:type="dxa"/>
            <w:tcBorders>
              <w:bottom w:val="single" w:sz="4" w:space="0" w:color="auto"/>
            </w:tcBorders>
            <w:tcMar>
              <w:top w:w="0" w:type="dxa"/>
              <w:left w:w="108" w:type="dxa"/>
              <w:bottom w:w="0" w:type="dxa"/>
              <w:right w:w="108" w:type="dxa"/>
            </w:tcMar>
            <w:vAlign w:val="center"/>
          </w:tcPr>
          <w:p w14:paraId="344474E9" w14:textId="780DB3A4" w:rsidR="006673F1" w:rsidRDefault="006673F1" w:rsidP="00B81C3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roofErr w:type="gramStart"/>
            <w:r>
              <w:rPr>
                <w:rFonts w:ascii="Arial" w:eastAsia="Times New Roman" w:hAnsi="Arial" w:cs="Arial"/>
                <w:sz w:val="20"/>
                <w:szCs w:val="20"/>
                <w:lang w:eastAsia="en-GB"/>
              </w:rPr>
              <w:t>4.9)p</w:t>
            </w:r>
            <w:proofErr w:type="gramEnd"/>
          </w:p>
        </w:tc>
      </w:tr>
    </w:tbl>
    <w:p w14:paraId="0B81796D" w14:textId="77777777" w:rsidR="00C5315A" w:rsidRPr="0077073D" w:rsidRDefault="00C5315A" w:rsidP="008F2842">
      <w:pPr>
        <w:spacing w:after="0" w:line="253" w:lineRule="atLeast"/>
        <w:rPr>
          <w:rFonts w:ascii="Arial" w:eastAsia="Times New Roman" w:hAnsi="Arial" w:cs="Arial"/>
          <w:i/>
          <w:iCs/>
          <w:color w:val="000000"/>
          <w:sz w:val="20"/>
          <w:szCs w:val="20"/>
          <w:lang w:eastAsia="en-GB"/>
        </w:rPr>
      </w:pPr>
    </w:p>
    <w:p w14:paraId="2D80AF4A" w14:textId="3A3F5375" w:rsidR="008F2842" w:rsidRPr="00811359" w:rsidRDefault="008F2842" w:rsidP="008F2842">
      <w:pPr>
        <w:spacing w:after="0" w:line="253" w:lineRule="atLeast"/>
        <w:rPr>
          <w:rFonts w:ascii="Arial" w:eastAsia="Times New Roman" w:hAnsi="Arial" w:cs="Arial"/>
          <w:i/>
          <w:iCs/>
          <w:color w:val="000000"/>
          <w:sz w:val="20"/>
          <w:szCs w:val="20"/>
          <w:lang w:eastAsia="en-GB"/>
        </w:rPr>
      </w:pPr>
      <w:r w:rsidRPr="00811359">
        <w:rPr>
          <w:rFonts w:ascii="Arial" w:eastAsia="Times New Roman" w:hAnsi="Arial" w:cs="Arial"/>
          <w:i/>
          <w:iCs/>
          <w:color w:val="000000"/>
          <w:sz w:val="20"/>
          <w:szCs w:val="20"/>
          <w:vertAlign w:val="superscript"/>
          <w:lang w:eastAsia="en-GB"/>
        </w:rPr>
        <w:t>1</w:t>
      </w:r>
      <w:r w:rsidRPr="00811359">
        <w:rPr>
          <w:rFonts w:ascii="Arial" w:eastAsia="Times New Roman" w:hAnsi="Arial" w:cs="Arial"/>
          <w:i/>
          <w:iCs/>
          <w:color w:val="000000"/>
          <w:sz w:val="20"/>
          <w:szCs w:val="20"/>
          <w:lang w:eastAsia="en-GB"/>
        </w:rPr>
        <w:t xml:space="preserve"> Earnings before interest, taxes, depreciation and amortisation (“EBITDA”)</w:t>
      </w:r>
    </w:p>
    <w:p w14:paraId="3CD172CA" w14:textId="0DB98F25" w:rsidR="008F2842" w:rsidRDefault="008F2842" w:rsidP="008F2842">
      <w:pPr>
        <w:spacing w:after="0" w:line="253" w:lineRule="atLeast"/>
        <w:rPr>
          <w:rFonts w:ascii="Arial" w:eastAsia="Times New Roman" w:hAnsi="Arial" w:cs="Arial"/>
          <w:i/>
          <w:iCs/>
          <w:color w:val="000000"/>
          <w:sz w:val="20"/>
          <w:szCs w:val="20"/>
          <w:lang w:eastAsia="en-GB"/>
        </w:rPr>
      </w:pPr>
      <w:r w:rsidRPr="00811359">
        <w:rPr>
          <w:rFonts w:ascii="Arial" w:eastAsia="Times New Roman" w:hAnsi="Arial" w:cs="Arial"/>
          <w:i/>
          <w:iCs/>
          <w:color w:val="000000"/>
          <w:sz w:val="20"/>
          <w:szCs w:val="20"/>
          <w:vertAlign w:val="superscript"/>
          <w:lang w:eastAsia="en-GB"/>
        </w:rPr>
        <w:t xml:space="preserve">2 </w:t>
      </w:r>
      <w:r w:rsidRPr="00811359">
        <w:rPr>
          <w:rFonts w:ascii="Arial" w:eastAsia="Times New Roman" w:hAnsi="Arial" w:cs="Arial"/>
          <w:i/>
          <w:iCs/>
          <w:color w:val="000000"/>
          <w:sz w:val="20"/>
          <w:szCs w:val="20"/>
          <w:lang w:eastAsia="en-GB"/>
        </w:rPr>
        <w:t xml:space="preserve">Explanation of non-IFRS measures are contained within the </w:t>
      </w:r>
      <w:r w:rsidR="0077760B">
        <w:rPr>
          <w:rFonts w:ascii="Arial" w:eastAsia="Times New Roman" w:hAnsi="Arial" w:cs="Arial"/>
          <w:i/>
          <w:iCs/>
          <w:color w:val="000000"/>
          <w:sz w:val="20"/>
          <w:szCs w:val="20"/>
          <w:lang w:eastAsia="en-GB"/>
        </w:rPr>
        <w:t>Financial Review</w:t>
      </w:r>
      <w:r w:rsidR="003C1F08">
        <w:rPr>
          <w:rFonts w:ascii="Arial" w:eastAsia="Times New Roman" w:hAnsi="Arial" w:cs="Arial"/>
          <w:i/>
          <w:iCs/>
          <w:color w:val="000000"/>
          <w:sz w:val="20"/>
          <w:szCs w:val="20"/>
          <w:lang w:eastAsia="en-GB"/>
        </w:rPr>
        <w:t xml:space="preserve"> and note 2</w:t>
      </w:r>
    </w:p>
    <w:p w14:paraId="3B201233" w14:textId="06480284" w:rsidR="00CB2589" w:rsidRPr="00CB2589" w:rsidRDefault="00CB2589" w:rsidP="008F2842">
      <w:pPr>
        <w:spacing w:after="0" w:line="253" w:lineRule="atLeast"/>
        <w:rPr>
          <w:rFonts w:ascii="Arial" w:eastAsia="Times New Roman" w:hAnsi="Arial" w:cs="Arial"/>
          <w:i/>
          <w:iCs/>
          <w:color w:val="000000"/>
          <w:sz w:val="20"/>
          <w:szCs w:val="20"/>
          <w:lang w:eastAsia="en-GB"/>
        </w:rPr>
      </w:pPr>
      <w:r w:rsidRPr="00F72BA1">
        <w:rPr>
          <w:rFonts w:ascii="Arial" w:eastAsia="Times New Roman" w:hAnsi="Arial" w:cs="Arial"/>
          <w:i/>
          <w:iCs/>
          <w:color w:val="000000"/>
          <w:sz w:val="20"/>
          <w:szCs w:val="20"/>
          <w:vertAlign w:val="superscript"/>
          <w:lang w:eastAsia="en-GB"/>
        </w:rPr>
        <w:t>3</w:t>
      </w:r>
      <w:r w:rsidR="00684F69">
        <w:rPr>
          <w:rFonts w:ascii="Arial" w:eastAsia="Times New Roman" w:hAnsi="Arial" w:cs="Arial"/>
          <w:i/>
          <w:iCs/>
          <w:color w:val="000000"/>
          <w:sz w:val="20"/>
          <w:szCs w:val="20"/>
          <w:vertAlign w:val="superscript"/>
          <w:lang w:eastAsia="en-GB"/>
        </w:rPr>
        <w:t xml:space="preserve"> </w:t>
      </w:r>
      <w:r>
        <w:rPr>
          <w:rFonts w:ascii="Arial" w:eastAsia="Times New Roman" w:hAnsi="Arial" w:cs="Arial"/>
          <w:i/>
          <w:iCs/>
          <w:color w:val="000000"/>
          <w:sz w:val="20"/>
          <w:szCs w:val="20"/>
          <w:lang w:eastAsia="en-GB"/>
        </w:rPr>
        <w:t xml:space="preserve">Further </w:t>
      </w:r>
      <w:r w:rsidR="003C1F08">
        <w:rPr>
          <w:rFonts w:ascii="Arial" w:eastAsia="Times New Roman" w:hAnsi="Arial" w:cs="Arial"/>
          <w:i/>
          <w:iCs/>
          <w:color w:val="000000"/>
          <w:sz w:val="20"/>
          <w:szCs w:val="20"/>
          <w:lang w:eastAsia="en-GB"/>
        </w:rPr>
        <w:t>details</w:t>
      </w:r>
      <w:r>
        <w:rPr>
          <w:rFonts w:ascii="Arial" w:eastAsia="Times New Roman" w:hAnsi="Arial" w:cs="Arial"/>
          <w:i/>
          <w:iCs/>
          <w:color w:val="000000"/>
          <w:sz w:val="20"/>
          <w:szCs w:val="20"/>
          <w:lang w:eastAsia="en-GB"/>
        </w:rPr>
        <w:t xml:space="preserve"> shown in c</w:t>
      </w:r>
      <w:r w:rsidRPr="00CB2589">
        <w:rPr>
          <w:rFonts w:ascii="Arial" w:eastAsia="Times New Roman" w:hAnsi="Arial" w:cs="Arial"/>
          <w:i/>
          <w:iCs/>
          <w:color w:val="000000"/>
          <w:sz w:val="20"/>
          <w:szCs w:val="20"/>
          <w:lang w:eastAsia="en-GB"/>
        </w:rPr>
        <w:t xml:space="preserve">onsolidated statement of </w:t>
      </w:r>
      <w:r w:rsidR="003C1F08">
        <w:rPr>
          <w:rFonts w:ascii="Arial" w:eastAsia="Times New Roman" w:hAnsi="Arial" w:cs="Arial"/>
          <w:i/>
          <w:iCs/>
          <w:color w:val="000000"/>
          <w:sz w:val="20"/>
          <w:szCs w:val="20"/>
          <w:lang w:eastAsia="en-GB"/>
        </w:rPr>
        <w:t>comprehensive income</w:t>
      </w:r>
    </w:p>
    <w:p w14:paraId="4F81D2EC" w14:textId="18FF6097" w:rsidR="00AD2304" w:rsidRPr="00811359" w:rsidRDefault="00AD2304" w:rsidP="00AD2304">
      <w:pPr>
        <w:spacing w:after="0" w:line="253" w:lineRule="atLeast"/>
        <w:rPr>
          <w:rFonts w:ascii="Arial" w:eastAsia="Times New Roman" w:hAnsi="Arial" w:cs="Arial"/>
          <w:i/>
          <w:iCs/>
          <w:color w:val="000000"/>
          <w:sz w:val="20"/>
          <w:szCs w:val="20"/>
          <w:lang w:eastAsia="en-GB"/>
        </w:rPr>
      </w:pPr>
      <w:bookmarkStart w:id="1" w:name="_Hlk106614653"/>
      <w:bookmarkEnd w:id="0"/>
    </w:p>
    <w:p w14:paraId="69B73D00" w14:textId="77777777" w:rsidR="00F46888" w:rsidRDefault="00F46888" w:rsidP="00AD2304">
      <w:pPr>
        <w:spacing w:after="0" w:line="253" w:lineRule="atLeast"/>
        <w:rPr>
          <w:rFonts w:ascii="Arial" w:eastAsia="Times New Roman" w:hAnsi="Arial" w:cs="Arial"/>
          <w:b/>
          <w:bCs/>
          <w:color w:val="000000"/>
          <w:sz w:val="20"/>
          <w:szCs w:val="20"/>
          <w:u w:val="single"/>
          <w:lang w:eastAsia="en-GB"/>
        </w:rPr>
      </w:pPr>
    </w:p>
    <w:p w14:paraId="3A33022D" w14:textId="0354E387" w:rsidR="00AA748B" w:rsidRDefault="00DE3D9D" w:rsidP="00AD2304">
      <w:pPr>
        <w:spacing w:after="0" w:line="253" w:lineRule="atLeas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STRATEGY AND TRADING PERFORMANCE</w:t>
      </w:r>
    </w:p>
    <w:p w14:paraId="322EEE46" w14:textId="77777777" w:rsidR="00AA748B" w:rsidRDefault="00AA748B" w:rsidP="00AD2304">
      <w:pPr>
        <w:spacing w:after="0" w:line="253" w:lineRule="atLeast"/>
        <w:rPr>
          <w:rFonts w:ascii="Arial" w:eastAsia="Times New Roman" w:hAnsi="Arial" w:cs="Arial"/>
          <w:b/>
          <w:bCs/>
          <w:color w:val="000000"/>
          <w:sz w:val="20"/>
          <w:szCs w:val="20"/>
          <w:lang w:eastAsia="en-GB"/>
        </w:rPr>
      </w:pPr>
    </w:p>
    <w:p w14:paraId="23ADBB81" w14:textId="08D1A107" w:rsidR="00F46888" w:rsidRPr="004956E7" w:rsidRDefault="00B16A1C" w:rsidP="00AD2304">
      <w:pPr>
        <w:spacing w:after="0" w:line="253" w:lineRule="atLeas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w:t>
      </w:r>
      <w:r w:rsidRPr="004956E7">
        <w:rPr>
          <w:rFonts w:ascii="Arial" w:eastAsia="Times New Roman" w:hAnsi="Arial" w:cs="Arial"/>
          <w:b/>
          <w:bCs/>
          <w:color w:val="000000"/>
          <w:sz w:val="20"/>
          <w:szCs w:val="20"/>
          <w:lang w:eastAsia="en-GB"/>
        </w:rPr>
        <w:t xml:space="preserve"> leading </w:t>
      </w:r>
      <w:r w:rsidR="008F5B35">
        <w:rPr>
          <w:rFonts w:ascii="Arial" w:eastAsia="Times New Roman" w:hAnsi="Arial" w:cs="Arial"/>
          <w:b/>
          <w:bCs/>
          <w:color w:val="000000"/>
          <w:sz w:val="20"/>
          <w:szCs w:val="20"/>
          <w:lang w:eastAsia="en-GB"/>
        </w:rPr>
        <w:t>business-critical service provider</w:t>
      </w:r>
    </w:p>
    <w:p w14:paraId="36EEEABA" w14:textId="09B6CED9" w:rsidR="00ED401C" w:rsidRPr="009C56E0" w:rsidRDefault="00E80E8C" w:rsidP="00167229">
      <w:pPr>
        <w:pStyle w:val="ListParagraph"/>
        <w:numPr>
          <w:ilvl w:val="0"/>
          <w:numId w:val="12"/>
        </w:numPr>
        <w:spacing w:after="0" w:line="253" w:lineRule="atLeast"/>
        <w:jc w:val="both"/>
        <w:rPr>
          <w:rFonts w:ascii="Arial" w:eastAsia="Times New Roman" w:hAnsi="Arial" w:cs="Arial"/>
          <w:b/>
          <w:bCs/>
          <w:color w:val="000000"/>
          <w:sz w:val="20"/>
          <w:szCs w:val="20"/>
          <w:u w:val="single"/>
          <w:lang w:eastAsia="en-GB"/>
        </w:rPr>
      </w:pPr>
      <w:r>
        <w:rPr>
          <w:rFonts w:ascii="Arial" w:eastAsia="Times New Roman" w:hAnsi="Arial" w:cs="Arial"/>
          <w:color w:val="000000"/>
          <w:sz w:val="20"/>
          <w:szCs w:val="20"/>
          <w:lang w:eastAsia="en-GB"/>
        </w:rPr>
        <w:t xml:space="preserve">Marlowe’s </w:t>
      </w:r>
      <w:proofErr w:type="gramStart"/>
      <w:r w:rsidR="004956E7" w:rsidRPr="004956E7">
        <w:rPr>
          <w:rFonts w:ascii="Arial" w:eastAsia="Times New Roman" w:hAnsi="Arial" w:cs="Arial"/>
          <w:color w:val="000000"/>
          <w:sz w:val="20"/>
          <w:szCs w:val="20"/>
          <w:lang w:eastAsia="en-GB"/>
        </w:rPr>
        <w:t xml:space="preserve">forward </w:t>
      </w:r>
      <w:r w:rsidR="0077760B">
        <w:rPr>
          <w:rFonts w:ascii="Arial" w:eastAsia="Times New Roman" w:hAnsi="Arial" w:cs="Arial"/>
          <w:color w:val="000000"/>
          <w:sz w:val="20"/>
          <w:szCs w:val="20"/>
          <w:lang w:eastAsia="en-GB"/>
        </w:rPr>
        <w:t>looking</w:t>
      </w:r>
      <w:proofErr w:type="gramEnd"/>
      <w:r w:rsidR="0077760B">
        <w:rPr>
          <w:rFonts w:ascii="Arial" w:eastAsia="Times New Roman" w:hAnsi="Arial" w:cs="Arial"/>
          <w:color w:val="000000"/>
          <w:sz w:val="20"/>
          <w:szCs w:val="20"/>
          <w:lang w:eastAsia="en-GB"/>
        </w:rPr>
        <w:t xml:space="preserve"> </w:t>
      </w:r>
      <w:r w:rsidR="004956E7" w:rsidRPr="004956E7">
        <w:rPr>
          <w:rFonts w:ascii="Arial" w:eastAsia="Times New Roman" w:hAnsi="Arial" w:cs="Arial"/>
          <w:color w:val="000000"/>
          <w:sz w:val="20"/>
          <w:szCs w:val="20"/>
          <w:lang w:eastAsia="en-GB"/>
        </w:rPr>
        <w:t xml:space="preserve">strategy </w:t>
      </w:r>
      <w:r w:rsidR="004956E7">
        <w:rPr>
          <w:rFonts w:ascii="Arial" w:eastAsia="Times New Roman" w:hAnsi="Arial" w:cs="Arial"/>
          <w:color w:val="000000"/>
          <w:sz w:val="20"/>
          <w:szCs w:val="20"/>
          <w:lang w:eastAsia="en-GB"/>
        </w:rPr>
        <w:t xml:space="preserve">is </w:t>
      </w:r>
      <w:r w:rsidR="004956E7" w:rsidRPr="004956E7">
        <w:rPr>
          <w:rFonts w:ascii="Arial" w:eastAsia="Times New Roman" w:hAnsi="Arial" w:cs="Arial"/>
          <w:color w:val="000000"/>
          <w:sz w:val="20"/>
          <w:szCs w:val="20"/>
          <w:lang w:eastAsia="en-GB"/>
        </w:rPr>
        <w:t xml:space="preserve">to focus on regulated </w:t>
      </w:r>
      <w:r w:rsidR="008F5B35">
        <w:rPr>
          <w:rFonts w:ascii="Arial" w:eastAsia="Times New Roman" w:hAnsi="Arial" w:cs="Arial"/>
          <w:color w:val="000000"/>
          <w:sz w:val="20"/>
          <w:szCs w:val="20"/>
          <w:lang w:eastAsia="en-GB"/>
        </w:rPr>
        <w:t xml:space="preserve">business-critical </w:t>
      </w:r>
      <w:r w:rsidR="004956E7" w:rsidRPr="004956E7">
        <w:rPr>
          <w:rFonts w:ascii="Arial" w:eastAsia="Times New Roman" w:hAnsi="Arial" w:cs="Arial"/>
          <w:color w:val="000000"/>
          <w:sz w:val="20"/>
          <w:szCs w:val="20"/>
          <w:lang w:eastAsia="en-GB"/>
        </w:rPr>
        <w:t>service markets</w:t>
      </w:r>
      <w:r w:rsidR="004956E7">
        <w:rPr>
          <w:rFonts w:ascii="Arial" w:eastAsia="Times New Roman" w:hAnsi="Arial" w:cs="Arial"/>
          <w:color w:val="000000"/>
          <w:sz w:val="20"/>
          <w:szCs w:val="20"/>
          <w:lang w:eastAsia="en-GB"/>
        </w:rPr>
        <w:t xml:space="preserve"> across </w:t>
      </w:r>
      <w:r w:rsidR="004D6EB1">
        <w:rPr>
          <w:rFonts w:ascii="Arial" w:eastAsia="Times New Roman" w:hAnsi="Arial" w:cs="Arial"/>
          <w:color w:val="000000"/>
          <w:sz w:val="20"/>
          <w:szCs w:val="20"/>
          <w:lang w:eastAsia="en-GB"/>
        </w:rPr>
        <w:t>TIC and Occupational Health</w:t>
      </w:r>
      <w:r w:rsidR="00167229">
        <w:rPr>
          <w:rFonts w:ascii="Arial" w:eastAsia="Times New Roman" w:hAnsi="Arial" w:cs="Arial"/>
          <w:color w:val="000000"/>
          <w:sz w:val="20"/>
          <w:szCs w:val="20"/>
          <w:lang w:eastAsia="en-GB"/>
        </w:rPr>
        <w:t xml:space="preserve"> with </w:t>
      </w:r>
      <w:r w:rsidR="009F17DF" w:rsidRPr="009C56E0">
        <w:rPr>
          <w:rFonts w:ascii="Arial" w:eastAsia="Times New Roman" w:hAnsi="Arial" w:cs="Arial"/>
          <w:color w:val="000000"/>
          <w:sz w:val="20"/>
          <w:szCs w:val="20"/>
          <w:lang w:eastAsia="en-GB"/>
        </w:rPr>
        <w:t>h</w:t>
      </w:r>
      <w:r w:rsidR="00ED401C" w:rsidRPr="009C56E0">
        <w:rPr>
          <w:rFonts w:ascii="Arial" w:eastAsia="Times New Roman" w:hAnsi="Arial" w:cs="Arial"/>
          <w:color w:val="000000"/>
          <w:sz w:val="20"/>
          <w:szCs w:val="20"/>
          <w:lang w:eastAsia="en-GB"/>
        </w:rPr>
        <w:t>ighly</w:t>
      </w:r>
      <w:r w:rsidR="00DE3D9D" w:rsidRPr="009C56E0">
        <w:rPr>
          <w:rFonts w:ascii="Arial" w:eastAsia="Times New Roman" w:hAnsi="Arial" w:cs="Arial"/>
          <w:color w:val="000000"/>
          <w:sz w:val="20"/>
          <w:szCs w:val="20"/>
          <w:lang w:eastAsia="en-GB"/>
        </w:rPr>
        <w:t>-</w:t>
      </w:r>
      <w:r w:rsidR="00ED401C" w:rsidRPr="009C56E0">
        <w:rPr>
          <w:rFonts w:ascii="Arial" w:eastAsia="Times New Roman" w:hAnsi="Arial" w:cs="Arial"/>
          <w:color w:val="000000"/>
          <w:sz w:val="20"/>
          <w:szCs w:val="20"/>
          <w:lang w:eastAsia="en-GB"/>
        </w:rPr>
        <w:t xml:space="preserve">recurring revenues </w:t>
      </w:r>
      <w:r w:rsidR="00DE3D9D" w:rsidRPr="009C56E0">
        <w:rPr>
          <w:rFonts w:ascii="Arial" w:eastAsia="Times New Roman" w:hAnsi="Arial" w:cs="Arial"/>
          <w:color w:val="000000"/>
          <w:sz w:val="20"/>
          <w:szCs w:val="20"/>
          <w:lang w:eastAsia="en-GB"/>
        </w:rPr>
        <w:t xml:space="preserve">based on </w:t>
      </w:r>
      <w:r w:rsidR="00ED401C" w:rsidRPr="009C56E0">
        <w:rPr>
          <w:rFonts w:ascii="Arial" w:eastAsia="Times New Roman" w:hAnsi="Arial" w:cs="Arial"/>
          <w:color w:val="000000"/>
          <w:sz w:val="20"/>
          <w:szCs w:val="20"/>
          <w:lang w:eastAsia="en-GB"/>
        </w:rPr>
        <w:t xml:space="preserve">non-discretionary </w:t>
      </w:r>
      <w:r w:rsidR="00167229">
        <w:rPr>
          <w:rFonts w:ascii="Arial" w:eastAsia="Times New Roman" w:hAnsi="Arial" w:cs="Arial"/>
          <w:color w:val="000000"/>
          <w:sz w:val="20"/>
          <w:szCs w:val="20"/>
          <w:lang w:eastAsia="en-GB"/>
        </w:rPr>
        <w:t xml:space="preserve">customer </w:t>
      </w:r>
      <w:r w:rsidR="005926F2" w:rsidRPr="009C56E0">
        <w:rPr>
          <w:rFonts w:ascii="Arial" w:eastAsia="Times New Roman" w:hAnsi="Arial" w:cs="Arial"/>
          <w:color w:val="000000"/>
          <w:sz w:val="20"/>
          <w:szCs w:val="20"/>
          <w:lang w:eastAsia="en-GB"/>
        </w:rPr>
        <w:t xml:space="preserve">spend </w:t>
      </w:r>
      <w:r w:rsidR="00ED401C" w:rsidRPr="009C56E0">
        <w:rPr>
          <w:rFonts w:ascii="Arial" w:eastAsia="Times New Roman" w:hAnsi="Arial" w:cs="Arial"/>
          <w:color w:val="000000"/>
          <w:sz w:val="20"/>
          <w:szCs w:val="20"/>
          <w:lang w:eastAsia="en-GB"/>
        </w:rPr>
        <w:t>and underpinned by regulat</w:t>
      </w:r>
      <w:r w:rsidR="0077760B" w:rsidRPr="009C56E0">
        <w:rPr>
          <w:rFonts w:ascii="Arial" w:eastAsia="Times New Roman" w:hAnsi="Arial" w:cs="Arial"/>
          <w:color w:val="000000"/>
          <w:sz w:val="20"/>
          <w:szCs w:val="20"/>
          <w:lang w:eastAsia="en-GB"/>
        </w:rPr>
        <w:t>ory</w:t>
      </w:r>
      <w:r w:rsidR="00ED401C" w:rsidRPr="009C56E0">
        <w:rPr>
          <w:rFonts w:ascii="Arial" w:eastAsia="Times New Roman" w:hAnsi="Arial" w:cs="Arial"/>
          <w:color w:val="000000"/>
          <w:sz w:val="20"/>
          <w:szCs w:val="20"/>
          <w:lang w:eastAsia="en-GB"/>
        </w:rPr>
        <w:t xml:space="preserve"> and insurance requirements </w:t>
      </w:r>
    </w:p>
    <w:p w14:paraId="100DBF9E" w14:textId="760D1B9B" w:rsidR="005D0D3D" w:rsidRPr="00C64BC9" w:rsidRDefault="005D0D3D" w:rsidP="009F17DF">
      <w:pPr>
        <w:pStyle w:val="ListParagraph"/>
        <w:numPr>
          <w:ilvl w:val="0"/>
          <w:numId w:val="12"/>
        </w:numPr>
        <w:spacing w:after="0" w:line="253" w:lineRule="atLeast"/>
        <w:jc w:val="both"/>
        <w:rPr>
          <w:rFonts w:ascii="Arial" w:eastAsia="Times New Roman" w:hAnsi="Arial" w:cs="Arial"/>
          <w:b/>
          <w:bCs/>
          <w:color w:val="000000"/>
          <w:sz w:val="20"/>
          <w:szCs w:val="20"/>
          <w:u w:val="single"/>
          <w:lang w:eastAsia="en-GB"/>
        </w:rPr>
      </w:pPr>
      <w:r>
        <w:rPr>
          <w:rFonts w:ascii="Arial" w:eastAsia="Times New Roman" w:hAnsi="Arial" w:cs="Arial"/>
          <w:color w:val="000000"/>
          <w:sz w:val="20"/>
          <w:szCs w:val="20"/>
          <w:lang w:eastAsia="en-GB"/>
        </w:rPr>
        <w:t>T</w:t>
      </w:r>
      <w:r w:rsidR="0055076E">
        <w:rPr>
          <w:rFonts w:ascii="Arial" w:eastAsia="Times New Roman" w:hAnsi="Arial" w:cs="Arial"/>
          <w:color w:val="000000"/>
          <w:sz w:val="20"/>
          <w:szCs w:val="20"/>
          <w:lang w:eastAsia="en-GB"/>
        </w:rPr>
        <w:t>he primary focus in the near term remains on driving margin enhancement and organic growth</w:t>
      </w:r>
    </w:p>
    <w:p w14:paraId="0584B53C" w14:textId="72C22BBA" w:rsidR="0052097B" w:rsidRPr="00ED401C" w:rsidRDefault="005D0D3D" w:rsidP="009F17DF">
      <w:pPr>
        <w:pStyle w:val="ListParagraph"/>
        <w:numPr>
          <w:ilvl w:val="0"/>
          <w:numId w:val="12"/>
        </w:numPr>
        <w:spacing w:after="0" w:line="253" w:lineRule="atLeast"/>
        <w:jc w:val="both"/>
        <w:rPr>
          <w:rFonts w:ascii="Arial" w:eastAsia="Times New Roman" w:hAnsi="Arial" w:cs="Arial"/>
          <w:b/>
          <w:bCs/>
          <w:color w:val="000000"/>
          <w:sz w:val="20"/>
          <w:szCs w:val="20"/>
          <w:u w:val="single"/>
          <w:lang w:eastAsia="en-GB"/>
        </w:rPr>
      </w:pPr>
      <w:r>
        <w:rPr>
          <w:rFonts w:ascii="Arial" w:eastAsia="Times New Roman" w:hAnsi="Arial" w:cs="Arial"/>
          <w:color w:val="000000"/>
          <w:sz w:val="20"/>
          <w:szCs w:val="20"/>
          <w:lang w:eastAsia="en-GB"/>
        </w:rPr>
        <w:t xml:space="preserve">In addition, the </w:t>
      </w:r>
      <w:r w:rsidR="008F5B35">
        <w:rPr>
          <w:rFonts w:ascii="Arial" w:eastAsia="Times New Roman" w:hAnsi="Arial" w:cs="Arial"/>
          <w:color w:val="000000"/>
          <w:sz w:val="20"/>
          <w:szCs w:val="20"/>
          <w:lang w:eastAsia="en-GB"/>
        </w:rPr>
        <w:t>business-critical ser</w:t>
      </w:r>
      <w:r w:rsidR="0052097B">
        <w:rPr>
          <w:rFonts w:ascii="Arial" w:eastAsia="Times New Roman" w:hAnsi="Arial" w:cs="Arial"/>
          <w:color w:val="000000"/>
          <w:sz w:val="20"/>
          <w:szCs w:val="20"/>
          <w:lang w:eastAsia="en-GB"/>
        </w:rPr>
        <w:t xml:space="preserve">vice markets the Group occupies </w:t>
      </w:r>
      <w:r w:rsidR="000F2769">
        <w:rPr>
          <w:rFonts w:ascii="Arial" w:eastAsia="Times New Roman" w:hAnsi="Arial" w:cs="Arial"/>
          <w:color w:val="000000"/>
          <w:sz w:val="20"/>
          <w:szCs w:val="20"/>
          <w:lang w:eastAsia="en-GB"/>
        </w:rPr>
        <w:t>are</w:t>
      </w:r>
      <w:r w:rsidR="0055076E">
        <w:rPr>
          <w:rFonts w:ascii="Arial" w:eastAsia="Times New Roman" w:hAnsi="Arial" w:cs="Arial"/>
          <w:color w:val="000000"/>
          <w:sz w:val="20"/>
          <w:szCs w:val="20"/>
          <w:lang w:eastAsia="en-GB"/>
        </w:rPr>
        <w:t xml:space="preserve"> </w:t>
      </w:r>
      <w:r w:rsidR="0052097B">
        <w:rPr>
          <w:rFonts w:ascii="Arial" w:eastAsia="Times New Roman" w:hAnsi="Arial" w:cs="Arial"/>
          <w:color w:val="000000"/>
          <w:sz w:val="20"/>
          <w:szCs w:val="20"/>
          <w:lang w:eastAsia="en-GB"/>
        </w:rPr>
        <w:t>extremely fragmented</w:t>
      </w:r>
      <w:r w:rsidR="00E80E8C">
        <w:rPr>
          <w:rFonts w:ascii="Arial" w:eastAsia="Times New Roman" w:hAnsi="Arial" w:cs="Arial"/>
          <w:color w:val="000000"/>
          <w:sz w:val="20"/>
          <w:szCs w:val="20"/>
          <w:lang w:eastAsia="en-GB"/>
        </w:rPr>
        <w:t xml:space="preserve"> and</w:t>
      </w:r>
      <w:r w:rsidR="0052097B">
        <w:rPr>
          <w:rFonts w:ascii="Arial" w:eastAsia="Times New Roman" w:hAnsi="Arial" w:cs="Arial"/>
          <w:color w:val="000000"/>
          <w:sz w:val="20"/>
          <w:szCs w:val="20"/>
          <w:lang w:eastAsia="en-GB"/>
        </w:rPr>
        <w:t xml:space="preserve"> bolt-on acquisitions remain</w:t>
      </w:r>
      <w:r w:rsidR="00E80E8C">
        <w:rPr>
          <w:rFonts w:ascii="Arial" w:eastAsia="Times New Roman" w:hAnsi="Arial" w:cs="Arial"/>
          <w:color w:val="000000"/>
          <w:sz w:val="20"/>
          <w:szCs w:val="20"/>
          <w:lang w:eastAsia="en-GB"/>
        </w:rPr>
        <w:t xml:space="preserve"> </w:t>
      </w:r>
      <w:r w:rsidR="0052097B">
        <w:rPr>
          <w:rFonts w:ascii="Arial" w:eastAsia="Times New Roman" w:hAnsi="Arial" w:cs="Arial"/>
          <w:color w:val="000000"/>
          <w:sz w:val="20"/>
          <w:szCs w:val="20"/>
          <w:lang w:eastAsia="en-GB"/>
        </w:rPr>
        <w:t>an attractive route to deliver</w:t>
      </w:r>
      <w:r w:rsidR="00167229">
        <w:rPr>
          <w:rFonts w:ascii="Arial" w:eastAsia="Times New Roman" w:hAnsi="Arial" w:cs="Arial"/>
          <w:color w:val="000000"/>
          <w:sz w:val="20"/>
          <w:szCs w:val="20"/>
          <w:lang w:eastAsia="en-GB"/>
        </w:rPr>
        <w:t>ing additional</w:t>
      </w:r>
      <w:r w:rsidR="0052097B">
        <w:rPr>
          <w:rFonts w:ascii="Arial" w:eastAsia="Times New Roman" w:hAnsi="Arial" w:cs="Arial"/>
          <w:color w:val="000000"/>
          <w:sz w:val="20"/>
          <w:szCs w:val="20"/>
          <w:lang w:eastAsia="en-GB"/>
        </w:rPr>
        <w:t xml:space="preserve"> shareholder value</w:t>
      </w:r>
      <w:r w:rsidR="0031445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in due course </w:t>
      </w:r>
    </w:p>
    <w:p w14:paraId="7F759888" w14:textId="77777777" w:rsidR="00ED401C" w:rsidRPr="004956E7" w:rsidRDefault="00ED401C" w:rsidP="004956E7">
      <w:pPr>
        <w:pStyle w:val="ListParagraph"/>
        <w:spacing w:after="0" w:line="253" w:lineRule="atLeast"/>
        <w:rPr>
          <w:rFonts w:ascii="Arial" w:eastAsia="Times New Roman" w:hAnsi="Arial" w:cs="Arial"/>
          <w:b/>
          <w:bCs/>
          <w:color w:val="000000"/>
          <w:sz w:val="20"/>
          <w:szCs w:val="20"/>
          <w:u w:val="single"/>
          <w:lang w:eastAsia="en-GB"/>
        </w:rPr>
      </w:pPr>
    </w:p>
    <w:p w14:paraId="581CE431" w14:textId="452A0FCE" w:rsidR="004956E7" w:rsidRDefault="00B47929" w:rsidP="00AD2304">
      <w:pPr>
        <w:spacing w:after="0" w:line="253" w:lineRule="atLeas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Completed </w:t>
      </w:r>
      <w:r w:rsidR="00E80E8C">
        <w:rPr>
          <w:rFonts w:ascii="Arial" w:eastAsia="Times New Roman" w:hAnsi="Arial" w:cs="Arial"/>
          <w:b/>
          <w:bCs/>
          <w:color w:val="000000"/>
          <w:sz w:val="20"/>
          <w:szCs w:val="20"/>
          <w:lang w:eastAsia="en-GB"/>
        </w:rPr>
        <w:t>s</w:t>
      </w:r>
      <w:r w:rsidR="00B16A1C">
        <w:rPr>
          <w:rFonts w:ascii="Arial" w:eastAsia="Times New Roman" w:hAnsi="Arial" w:cs="Arial"/>
          <w:b/>
          <w:bCs/>
          <w:color w:val="000000"/>
          <w:sz w:val="20"/>
          <w:szCs w:val="20"/>
          <w:lang w:eastAsia="en-GB"/>
        </w:rPr>
        <w:t xml:space="preserve">trategic review </w:t>
      </w:r>
      <w:r w:rsidR="005926F2">
        <w:rPr>
          <w:rFonts w:ascii="Arial" w:eastAsia="Times New Roman" w:hAnsi="Arial" w:cs="Arial"/>
          <w:b/>
          <w:bCs/>
          <w:color w:val="000000"/>
          <w:sz w:val="20"/>
          <w:szCs w:val="20"/>
          <w:lang w:eastAsia="en-GB"/>
        </w:rPr>
        <w:t xml:space="preserve">creating </w:t>
      </w:r>
      <w:r w:rsidR="00B16A1C">
        <w:rPr>
          <w:rFonts w:ascii="Arial" w:eastAsia="Times New Roman" w:hAnsi="Arial" w:cs="Arial"/>
          <w:b/>
          <w:bCs/>
          <w:color w:val="000000"/>
          <w:sz w:val="20"/>
          <w:szCs w:val="20"/>
          <w:lang w:eastAsia="en-GB"/>
        </w:rPr>
        <w:t>significant shareholder value</w:t>
      </w:r>
    </w:p>
    <w:p w14:paraId="112E65F5" w14:textId="4C407F46" w:rsidR="004956E7" w:rsidRDefault="00EF5A88" w:rsidP="009F17DF">
      <w:pPr>
        <w:pStyle w:val="ListParagraph"/>
        <w:numPr>
          <w:ilvl w:val="0"/>
          <w:numId w:val="13"/>
        </w:numPr>
        <w:spacing w:after="0" w:line="253" w:lineRule="atLeast"/>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w:t>
      </w:r>
      <w:r w:rsidRPr="00EF5A88">
        <w:rPr>
          <w:rFonts w:ascii="Arial" w:eastAsia="Times New Roman" w:hAnsi="Arial" w:cs="Arial"/>
          <w:color w:val="000000"/>
          <w:sz w:val="20"/>
          <w:szCs w:val="20"/>
          <w:lang w:eastAsia="en-GB"/>
        </w:rPr>
        <w:t xml:space="preserve">ollowing the strategic review announced in November 2023, the Company </w:t>
      </w:r>
      <w:r w:rsidR="005926F2">
        <w:rPr>
          <w:rFonts w:ascii="Arial" w:eastAsia="Times New Roman" w:hAnsi="Arial" w:cs="Arial"/>
          <w:color w:val="000000"/>
          <w:sz w:val="20"/>
          <w:szCs w:val="20"/>
          <w:lang w:eastAsia="en-GB"/>
        </w:rPr>
        <w:t xml:space="preserve">completed </w:t>
      </w:r>
      <w:r w:rsidR="00624AB1">
        <w:rPr>
          <w:rFonts w:ascii="Arial" w:eastAsia="Times New Roman" w:hAnsi="Arial" w:cs="Arial"/>
          <w:color w:val="000000"/>
          <w:sz w:val="20"/>
          <w:szCs w:val="20"/>
          <w:lang w:eastAsia="en-GB"/>
        </w:rPr>
        <w:t xml:space="preserve">the sale of certain </w:t>
      </w:r>
      <w:r w:rsidR="00167229">
        <w:rPr>
          <w:rFonts w:ascii="Arial" w:eastAsia="Times New Roman" w:hAnsi="Arial" w:cs="Arial"/>
          <w:color w:val="000000"/>
          <w:sz w:val="20"/>
          <w:szCs w:val="20"/>
          <w:lang w:eastAsia="en-GB"/>
        </w:rPr>
        <w:t>GRC</w:t>
      </w:r>
      <w:r w:rsidR="00624AB1">
        <w:rPr>
          <w:rFonts w:ascii="Arial" w:eastAsia="Times New Roman" w:hAnsi="Arial" w:cs="Arial"/>
          <w:color w:val="000000"/>
          <w:sz w:val="20"/>
          <w:szCs w:val="20"/>
          <w:lang w:eastAsia="en-GB"/>
        </w:rPr>
        <w:t xml:space="preserve"> software and services assets (t</w:t>
      </w:r>
      <w:r w:rsidRPr="00EF5A88">
        <w:rPr>
          <w:rFonts w:ascii="Arial" w:eastAsia="Times New Roman" w:hAnsi="Arial" w:cs="Arial"/>
          <w:color w:val="000000"/>
          <w:sz w:val="20"/>
          <w:szCs w:val="20"/>
          <w:lang w:eastAsia="en-GB"/>
        </w:rPr>
        <w:t xml:space="preserve">he </w:t>
      </w:r>
      <w:r w:rsidR="00624AB1">
        <w:rPr>
          <w:rFonts w:ascii="Arial" w:eastAsia="Times New Roman" w:hAnsi="Arial" w:cs="Arial"/>
          <w:color w:val="000000"/>
          <w:sz w:val="20"/>
          <w:szCs w:val="20"/>
          <w:lang w:eastAsia="en-GB"/>
        </w:rPr>
        <w:t>“</w:t>
      </w:r>
      <w:r w:rsidR="00624AB1" w:rsidRPr="00624AB1">
        <w:rPr>
          <w:rFonts w:ascii="Arial" w:eastAsia="Times New Roman" w:hAnsi="Arial" w:cs="Arial"/>
          <w:b/>
          <w:bCs/>
          <w:color w:val="000000"/>
          <w:sz w:val="20"/>
          <w:szCs w:val="20"/>
          <w:lang w:eastAsia="en-GB"/>
        </w:rPr>
        <w:t>D</w:t>
      </w:r>
      <w:r w:rsidRPr="00624AB1">
        <w:rPr>
          <w:rFonts w:ascii="Arial" w:eastAsia="Times New Roman" w:hAnsi="Arial" w:cs="Arial"/>
          <w:b/>
          <w:bCs/>
          <w:color w:val="000000"/>
          <w:sz w:val="20"/>
          <w:szCs w:val="20"/>
          <w:lang w:eastAsia="en-GB"/>
        </w:rPr>
        <w:t>ivestment</w:t>
      </w:r>
      <w:r w:rsidR="00624AB1">
        <w:rPr>
          <w:rFonts w:ascii="Arial" w:eastAsia="Times New Roman" w:hAnsi="Arial" w:cs="Arial"/>
          <w:color w:val="000000"/>
          <w:sz w:val="20"/>
          <w:szCs w:val="20"/>
          <w:lang w:eastAsia="en-GB"/>
        </w:rPr>
        <w:t xml:space="preserve">”) for an </w:t>
      </w:r>
      <w:r w:rsidR="0055076E">
        <w:rPr>
          <w:rFonts w:ascii="Arial" w:eastAsia="Times New Roman" w:hAnsi="Arial" w:cs="Arial"/>
          <w:color w:val="000000"/>
          <w:sz w:val="20"/>
          <w:szCs w:val="20"/>
          <w:lang w:eastAsia="en-GB"/>
        </w:rPr>
        <w:t>e</w:t>
      </w:r>
      <w:r w:rsidRPr="00EF5A88">
        <w:rPr>
          <w:rFonts w:ascii="Arial" w:eastAsia="Times New Roman" w:hAnsi="Arial" w:cs="Arial"/>
          <w:color w:val="000000"/>
          <w:sz w:val="20"/>
          <w:szCs w:val="20"/>
          <w:lang w:eastAsia="en-GB"/>
        </w:rPr>
        <w:t xml:space="preserve">nterprise </w:t>
      </w:r>
      <w:r w:rsidR="0055076E">
        <w:rPr>
          <w:rFonts w:ascii="Arial" w:eastAsia="Times New Roman" w:hAnsi="Arial" w:cs="Arial"/>
          <w:color w:val="000000"/>
          <w:sz w:val="20"/>
          <w:szCs w:val="20"/>
          <w:lang w:eastAsia="en-GB"/>
        </w:rPr>
        <w:t>v</w:t>
      </w:r>
      <w:r w:rsidRPr="00EF5A88">
        <w:rPr>
          <w:rFonts w:ascii="Arial" w:eastAsia="Times New Roman" w:hAnsi="Arial" w:cs="Arial"/>
          <w:color w:val="000000"/>
          <w:sz w:val="20"/>
          <w:szCs w:val="20"/>
          <w:lang w:eastAsia="en-GB"/>
        </w:rPr>
        <w:t>alue of £430 million</w:t>
      </w:r>
    </w:p>
    <w:p w14:paraId="421F28F7" w14:textId="615F7971" w:rsidR="00E80E8C" w:rsidRDefault="00E80E8C" w:rsidP="00E80E8C">
      <w:pPr>
        <w:pStyle w:val="ListParagraph"/>
        <w:numPr>
          <w:ilvl w:val="0"/>
          <w:numId w:val="13"/>
        </w:numPr>
        <w:spacing w:after="0" w:line="253" w:lineRule="atLeast"/>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Group </w:t>
      </w:r>
      <w:r w:rsidR="005926F2">
        <w:rPr>
          <w:rFonts w:ascii="Arial" w:eastAsia="Times New Roman" w:hAnsi="Arial" w:cs="Arial"/>
          <w:color w:val="000000"/>
          <w:sz w:val="20"/>
          <w:szCs w:val="20"/>
          <w:lang w:eastAsia="en-GB"/>
        </w:rPr>
        <w:t>is</w:t>
      </w:r>
      <w:r>
        <w:rPr>
          <w:rFonts w:ascii="Arial" w:eastAsia="Times New Roman" w:hAnsi="Arial" w:cs="Arial"/>
          <w:color w:val="000000"/>
          <w:sz w:val="20"/>
          <w:szCs w:val="20"/>
          <w:lang w:eastAsia="en-GB"/>
        </w:rPr>
        <w:t xml:space="preserve"> return</w:t>
      </w:r>
      <w:r w:rsidR="005926F2">
        <w:rPr>
          <w:rFonts w:ascii="Arial" w:eastAsia="Times New Roman" w:hAnsi="Arial" w:cs="Arial"/>
          <w:color w:val="000000"/>
          <w:sz w:val="20"/>
          <w:szCs w:val="20"/>
          <w:lang w:eastAsia="en-GB"/>
        </w:rPr>
        <w:t>ing</w:t>
      </w:r>
      <w:r>
        <w:rPr>
          <w:rFonts w:ascii="Arial" w:eastAsia="Times New Roman" w:hAnsi="Arial" w:cs="Arial"/>
          <w:color w:val="000000"/>
          <w:sz w:val="20"/>
          <w:szCs w:val="20"/>
          <w:lang w:eastAsia="en-GB"/>
        </w:rPr>
        <w:t xml:space="preserve"> up to an aggregate of £225 million of proceeds, with £150 million </w:t>
      </w:r>
      <w:r w:rsidR="00167229">
        <w:rPr>
          <w:rFonts w:ascii="Arial" w:eastAsia="Times New Roman" w:hAnsi="Arial" w:cs="Arial"/>
          <w:color w:val="000000"/>
          <w:sz w:val="20"/>
          <w:szCs w:val="20"/>
          <w:lang w:eastAsia="en-GB"/>
        </w:rPr>
        <w:t xml:space="preserve">already </w:t>
      </w:r>
      <w:r>
        <w:rPr>
          <w:rFonts w:ascii="Arial" w:eastAsia="Times New Roman" w:hAnsi="Arial" w:cs="Arial"/>
          <w:color w:val="000000"/>
          <w:sz w:val="20"/>
          <w:szCs w:val="20"/>
          <w:lang w:eastAsia="en-GB"/>
        </w:rPr>
        <w:t xml:space="preserve">returned via a special dividend, equating to £1.55 per share, paid on 5 July 2024, and by way </w:t>
      </w:r>
      <w:r w:rsidR="005926F2">
        <w:rPr>
          <w:rFonts w:ascii="Arial" w:eastAsia="Times New Roman" w:hAnsi="Arial" w:cs="Arial"/>
          <w:color w:val="000000"/>
          <w:sz w:val="20"/>
          <w:szCs w:val="20"/>
          <w:lang w:eastAsia="en-GB"/>
        </w:rPr>
        <w:t>of a</w:t>
      </w:r>
      <w:r>
        <w:rPr>
          <w:rFonts w:ascii="Arial" w:eastAsia="Times New Roman" w:hAnsi="Arial" w:cs="Arial"/>
          <w:color w:val="000000"/>
          <w:sz w:val="20"/>
          <w:szCs w:val="20"/>
          <w:lang w:eastAsia="en-GB"/>
        </w:rPr>
        <w:t xml:space="preserve"> share buy-back programme</w:t>
      </w:r>
      <w:r w:rsidR="00167229">
        <w:rPr>
          <w:rFonts w:ascii="Arial" w:eastAsia="Times New Roman" w:hAnsi="Arial" w:cs="Arial"/>
          <w:color w:val="000000"/>
          <w:sz w:val="20"/>
          <w:szCs w:val="20"/>
          <w:lang w:eastAsia="en-GB"/>
        </w:rPr>
        <w:t xml:space="preserve"> commenced on that same day</w:t>
      </w:r>
      <w:r>
        <w:rPr>
          <w:rFonts w:ascii="Arial" w:eastAsia="Times New Roman" w:hAnsi="Arial" w:cs="Arial"/>
          <w:color w:val="000000"/>
          <w:sz w:val="20"/>
          <w:szCs w:val="20"/>
          <w:lang w:eastAsia="en-GB"/>
        </w:rPr>
        <w:t xml:space="preserve"> to return up to £75 million</w:t>
      </w:r>
    </w:p>
    <w:p w14:paraId="0166B7FD" w14:textId="0D5C91C4" w:rsidR="00885552" w:rsidRPr="00885552" w:rsidRDefault="00885552" w:rsidP="009F17DF">
      <w:pPr>
        <w:pStyle w:val="ListParagraph"/>
        <w:numPr>
          <w:ilvl w:val="0"/>
          <w:numId w:val="13"/>
        </w:numPr>
        <w:spacing w:after="0" w:line="253" w:lineRule="atLeast"/>
        <w:jc w:val="both"/>
        <w:rPr>
          <w:rFonts w:ascii="Arial" w:eastAsia="Times New Roman" w:hAnsi="Arial" w:cs="Arial"/>
          <w:color w:val="000000"/>
          <w:sz w:val="20"/>
          <w:szCs w:val="20"/>
          <w:lang w:eastAsia="en-GB"/>
        </w:rPr>
      </w:pPr>
      <w:r w:rsidRPr="00885552">
        <w:rPr>
          <w:rFonts w:ascii="Arial" w:eastAsia="Times New Roman" w:hAnsi="Arial" w:cs="Arial"/>
          <w:color w:val="000000"/>
          <w:sz w:val="20"/>
          <w:szCs w:val="20"/>
          <w:lang w:eastAsia="en-GB"/>
        </w:rPr>
        <w:t xml:space="preserve">Marlowe's Board will continue to execute the delivery of the Group's strategy while regularly evaluating ways to </w:t>
      </w:r>
      <w:r w:rsidR="0055076E">
        <w:rPr>
          <w:rFonts w:ascii="Arial" w:eastAsia="Times New Roman" w:hAnsi="Arial" w:cs="Arial"/>
          <w:color w:val="000000"/>
          <w:sz w:val="20"/>
          <w:szCs w:val="20"/>
          <w:lang w:eastAsia="en-GB"/>
        </w:rPr>
        <w:t xml:space="preserve">further </w:t>
      </w:r>
      <w:r w:rsidRPr="00885552">
        <w:rPr>
          <w:rFonts w:ascii="Arial" w:eastAsia="Times New Roman" w:hAnsi="Arial" w:cs="Arial"/>
          <w:color w:val="000000"/>
          <w:sz w:val="20"/>
          <w:szCs w:val="20"/>
          <w:lang w:eastAsia="en-GB"/>
        </w:rPr>
        <w:t>maximise shareholder value</w:t>
      </w:r>
    </w:p>
    <w:p w14:paraId="2F1B9261" w14:textId="77777777" w:rsidR="00885552" w:rsidRPr="00EF5A88" w:rsidRDefault="00885552" w:rsidP="00885552">
      <w:pPr>
        <w:spacing w:after="0" w:line="253" w:lineRule="atLeast"/>
        <w:rPr>
          <w:rFonts w:ascii="Arial" w:eastAsia="Times New Roman" w:hAnsi="Arial" w:cs="Arial"/>
          <w:color w:val="000000"/>
          <w:sz w:val="20"/>
          <w:szCs w:val="20"/>
          <w:lang w:eastAsia="en-GB"/>
        </w:rPr>
      </w:pPr>
    </w:p>
    <w:p w14:paraId="2324BA79" w14:textId="34872B84" w:rsidR="00713AFC" w:rsidRDefault="00713AFC" w:rsidP="00713AFC">
      <w:pPr>
        <w:spacing w:after="0" w:line="253" w:lineRule="atLeas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Financial review of </w:t>
      </w:r>
      <w:r w:rsidR="008074E7">
        <w:rPr>
          <w:rFonts w:ascii="Arial" w:eastAsia="Times New Roman" w:hAnsi="Arial" w:cs="Arial"/>
          <w:b/>
          <w:bCs/>
          <w:color w:val="000000"/>
          <w:sz w:val="20"/>
          <w:szCs w:val="20"/>
          <w:lang w:eastAsia="en-GB"/>
        </w:rPr>
        <w:t>Group</w:t>
      </w:r>
    </w:p>
    <w:p w14:paraId="798BF331" w14:textId="77777777" w:rsidR="00713AFC" w:rsidRDefault="00713AFC" w:rsidP="00713AFC">
      <w:pPr>
        <w:spacing w:after="0" w:line="253" w:lineRule="atLeast"/>
        <w:rPr>
          <w:rFonts w:ascii="Arial" w:eastAsia="Times New Roman" w:hAnsi="Arial" w:cs="Arial"/>
          <w:b/>
          <w:bCs/>
          <w:color w:val="000000"/>
          <w:sz w:val="20"/>
          <w:szCs w:val="20"/>
          <w:lang w:eastAsia="en-GB"/>
        </w:rPr>
      </w:pPr>
    </w:p>
    <w:p w14:paraId="7883264B" w14:textId="77777777" w:rsidR="00167229" w:rsidRPr="009C56E0" w:rsidRDefault="00713AFC" w:rsidP="00713AFC">
      <w:pPr>
        <w:pStyle w:val="ListParagraph"/>
        <w:numPr>
          <w:ilvl w:val="0"/>
          <w:numId w:val="45"/>
        </w:numPr>
        <w:spacing w:after="0" w:line="253" w:lineRule="atLeas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Revenue up 8% to £503.2 million</w:t>
      </w:r>
    </w:p>
    <w:p w14:paraId="17FE5F29" w14:textId="3A24D01F" w:rsidR="00713AFC" w:rsidRDefault="00167229" w:rsidP="009C56E0">
      <w:pPr>
        <w:pStyle w:val="ListParagraph"/>
        <w:numPr>
          <w:ilvl w:val="1"/>
          <w:numId w:val="45"/>
        </w:numPr>
        <w:spacing w:after="0" w:line="253" w:lineRule="atLeast"/>
        <w:rPr>
          <w:rFonts w:ascii="Arial" w:eastAsia="Times New Roman" w:hAnsi="Arial" w:cs="Arial"/>
          <w:color w:val="000000"/>
          <w:sz w:val="20"/>
          <w:szCs w:val="20"/>
          <w:lang w:eastAsia="en-GB"/>
        </w:rPr>
      </w:pPr>
      <w:r w:rsidRPr="009C56E0">
        <w:rPr>
          <w:rFonts w:ascii="Arial" w:eastAsia="Times New Roman" w:hAnsi="Arial" w:cs="Arial"/>
          <w:color w:val="000000"/>
          <w:sz w:val="20"/>
          <w:szCs w:val="20"/>
          <w:lang w:eastAsia="en-GB"/>
        </w:rPr>
        <w:t>Increase</w:t>
      </w:r>
      <w:r w:rsidR="000352CF">
        <w:rPr>
          <w:rFonts w:ascii="Arial" w:eastAsia="Times New Roman" w:hAnsi="Arial" w:cs="Arial"/>
          <w:color w:val="000000"/>
          <w:sz w:val="20"/>
          <w:szCs w:val="20"/>
          <w:lang w:eastAsia="en-GB"/>
        </w:rPr>
        <w:t xml:space="preserve">d </w:t>
      </w:r>
      <w:proofErr w:type="gramStart"/>
      <w:r w:rsidR="000352CF">
        <w:rPr>
          <w:rFonts w:ascii="Arial" w:eastAsia="Times New Roman" w:hAnsi="Arial" w:cs="Arial"/>
          <w:color w:val="000000"/>
          <w:sz w:val="20"/>
          <w:szCs w:val="20"/>
          <w:lang w:eastAsia="en-GB"/>
        </w:rPr>
        <w:t xml:space="preserve">as </w:t>
      </w:r>
      <w:r w:rsidR="00713AFC" w:rsidRPr="00863469">
        <w:rPr>
          <w:rFonts w:ascii="Arial" w:eastAsia="Times New Roman" w:hAnsi="Arial" w:cs="Arial"/>
          <w:color w:val="000000"/>
          <w:sz w:val="20"/>
          <w:szCs w:val="20"/>
          <w:lang w:eastAsia="en-GB"/>
        </w:rPr>
        <w:t>a result of</w:t>
      </w:r>
      <w:proofErr w:type="gramEnd"/>
      <w:r w:rsidR="00713AFC" w:rsidRPr="0086346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both </w:t>
      </w:r>
      <w:r w:rsidR="00713AFC" w:rsidRPr="00863469">
        <w:rPr>
          <w:rFonts w:ascii="Arial" w:eastAsia="Times New Roman" w:hAnsi="Arial" w:cs="Arial"/>
          <w:color w:val="000000"/>
          <w:sz w:val="20"/>
          <w:szCs w:val="20"/>
          <w:lang w:eastAsia="en-GB"/>
        </w:rPr>
        <w:t xml:space="preserve">organic growth and contributions from </w:t>
      </w:r>
      <w:r>
        <w:rPr>
          <w:rFonts w:ascii="Arial" w:eastAsia="Times New Roman" w:hAnsi="Arial" w:cs="Arial"/>
          <w:color w:val="000000"/>
          <w:sz w:val="20"/>
          <w:szCs w:val="20"/>
          <w:lang w:eastAsia="en-GB"/>
        </w:rPr>
        <w:t xml:space="preserve">bolt-on </w:t>
      </w:r>
      <w:r w:rsidR="00713AFC" w:rsidRPr="00863469">
        <w:rPr>
          <w:rFonts w:ascii="Arial" w:eastAsia="Times New Roman" w:hAnsi="Arial" w:cs="Arial"/>
          <w:color w:val="000000"/>
          <w:sz w:val="20"/>
          <w:szCs w:val="20"/>
          <w:lang w:eastAsia="en-GB"/>
        </w:rPr>
        <w:t>acquisitions</w:t>
      </w:r>
      <w:r>
        <w:rPr>
          <w:rFonts w:ascii="Arial" w:eastAsia="Times New Roman" w:hAnsi="Arial" w:cs="Arial"/>
          <w:color w:val="000000"/>
          <w:sz w:val="20"/>
          <w:szCs w:val="20"/>
          <w:lang w:eastAsia="en-GB"/>
        </w:rPr>
        <w:t xml:space="preserve"> during the period</w:t>
      </w:r>
    </w:p>
    <w:p w14:paraId="447B16C1" w14:textId="77777777" w:rsidR="00713AFC" w:rsidRDefault="00713AFC" w:rsidP="00863469">
      <w:pPr>
        <w:pStyle w:val="ListParagraph"/>
        <w:spacing w:after="0" w:line="253" w:lineRule="atLeast"/>
        <w:rPr>
          <w:rFonts w:ascii="Arial" w:eastAsia="Times New Roman" w:hAnsi="Arial" w:cs="Arial"/>
          <w:color w:val="000000"/>
          <w:sz w:val="20"/>
          <w:szCs w:val="20"/>
          <w:lang w:eastAsia="en-GB"/>
        </w:rPr>
      </w:pPr>
    </w:p>
    <w:p w14:paraId="6EBE1E25" w14:textId="16A97ACC" w:rsidR="008074E7" w:rsidRPr="00863469" w:rsidRDefault="008074E7" w:rsidP="00863469">
      <w:pPr>
        <w:pStyle w:val="ListParagraph"/>
        <w:numPr>
          <w:ilvl w:val="0"/>
          <w:numId w:val="45"/>
        </w:numPr>
        <w:spacing w:after="0" w:line="253" w:lineRule="atLeast"/>
        <w:rPr>
          <w:rFonts w:ascii="Arial" w:eastAsia="Times New Roman" w:hAnsi="Arial" w:cs="Arial"/>
          <w:b/>
          <w:bCs/>
          <w:color w:val="000000"/>
          <w:sz w:val="18"/>
          <w:szCs w:val="18"/>
          <w:lang w:eastAsia="en-GB"/>
        </w:rPr>
      </w:pPr>
      <w:r w:rsidRPr="00863469">
        <w:rPr>
          <w:rFonts w:ascii="Arial" w:hAnsi="Arial" w:cs="Arial"/>
          <w:b/>
          <w:bCs/>
          <w:sz w:val="20"/>
          <w:szCs w:val="20"/>
          <w:lang w:eastAsia="en-GB"/>
        </w:rPr>
        <w:t>Statutory</w:t>
      </w:r>
      <w:r w:rsidR="00C5315A">
        <w:rPr>
          <w:rFonts w:ascii="Arial" w:hAnsi="Arial" w:cs="Arial"/>
          <w:b/>
          <w:bCs/>
          <w:sz w:val="20"/>
          <w:szCs w:val="20"/>
          <w:lang w:eastAsia="en-GB"/>
        </w:rPr>
        <w:t xml:space="preserve"> operating profit of £9.6 million and</w:t>
      </w:r>
      <w:r w:rsidRPr="00863469">
        <w:rPr>
          <w:rFonts w:ascii="Arial" w:hAnsi="Arial" w:cs="Arial"/>
          <w:b/>
          <w:bCs/>
          <w:sz w:val="20"/>
          <w:szCs w:val="20"/>
          <w:lang w:eastAsia="en-GB"/>
        </w:rPr>
        <w:t xml:space="preserve"> loss before tax of £</w:t>
      </w:r>
      <w:r w:rsidR="00BD1A57" w:rsidRPr="00863469">
        <w:rPr>
          <w:rFonts w:ascii="Arial" w:hAnsi="Arial" w:cs="Arial"/>
          <w:b/>
          <w:bCs/>
          <w:sz w:val="20"/>
          <w:szCs w:val="20"/>
          <w:lang w:eastAsia="en-GB"/>
        </w:rPr>
        <w:t>10.9</w:t>
      </w:r>
      <w:r w:rsidRPr="00863469">
        <w:rPr>
          <w:rFonts w:ascii="Arial" w:hAnsi="Arial" w:cs="Arial"/>
          <w:b/>
          <w:bCs/>
          <w:sz w:val="20"/>
          <w:szCs w:val="20"/>
          <w:lang w:eastAsia="en-GB"/>
        </w:rPr>
        <w:t xml:space="preserve"> million</w:t>
      </w:r>
    </w:p>
    <w:p w14:paraId="0E976EA6" w14:textId="3150FD92" w:rsidR="008074E7" w:rsidRDefault="00BD1A57" w:rsidP="008074E7">
      <w:pPr>
        <w:pStyle w:val="ListParagraph"/>
        <w:numPr>
          <w:ilvl w:val="1"/>
          <w:numId w:val="15"/>
        </w:numPr>
        <w:spacing w:line="256"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Total</w:t>
      </w:r>
      <w:r w:rsidR="008074E7">
        <w:rPr>
          <w:rFonts w:ascii="Arial" w:eastAsia="Times New Roman" w:hAnsi="Arial" w:cs="Arial"/>
          <w:color w:val="000000"/>
          <w:sz w:val="20"/>
          <w:szCs w:val="20"/>
          <w:lang w:eastAsia="en-GB"/>
        </w:rPr>
        <w:t xml:space="preserve"> finance costs of £</w:t>
      </w:r>
      <w:r>
        <w:rPr>
          <w:rFonts w:ascii="Arial" w:eastAsia="Times New Roman" w:hAnsi="Arial" w:cs="Arial"/>
          <w:color w:val="000000"/>
          <w:sz w:val="20"/>
          <w:szCs w:val="20"/>
          <w:lang w:eastAsia="en-GB"/>
        </w:rPr>
        <w:t xml:space="preserve">20.5 </w:t>
      </w:r>
      <w:r w:rsidR="008074E7">
        <w:rPr>
          <w:rFonts w:ascii="Arial" w:eastAsia="Times New Roman" w:hAnsi="Arial" w:cs="Arial"/>
          <w:color w:val="000000"/>
          <w:sz w:val="20"/>
          <w:szCs w:val="20"/>
          <w:lang w:eastAsia="en-GB"/>
        </w:rPr>
        <w:t>million (FY23: £</w:t>
      </w:r>
      <w:r>
        <w:rPr>
          <w:rFonts w:ascii="Arial" w:eastAsia="Times New Roman" w:hAnsi="Arial" w:cs="Arial"/>
          <w:color w:val="000000"/>
          <w:sz w:val="20"/>
          <w:szCs w:val="20"/>
          <w:lang w:eastAsia="en-GB"/>
        </w:rPr>
        <w:t>13.3</w:t>
      </w:r>
      <w:r w:rsidR="008074E7">
        <w:rPr>
          <w:rFonts w:ascii="Arial" w:eastAsia="Times New Roman" w:hAnsi="Arial" w:cs="Arial"/>
          <w:color w:val="000000"/>
          <w:sz w:val="20"/>
          <w:szCs w:val="20"/>
          <w:lang w:eastAsia="en-GB"/>
        </w:rPr>
        <w:t xml:space="preserve"> million) </w:t>
      </w:r>
      <w:r>
        <w:rPr>
          <w:rFonts w:ascii="Arial" w:eastAsia="Times New Roman" w:hAnsi="Arial" w:cs="Arial"/>
          <w:color w:val="000000"/>
          <w:sz w:val="20"/>
          <w:szCs w:val="20"/>
          <w:lang w:eastAsia="en-GB"/>
        </w:rPr>
        <w:t>primarily driven by</w:t>
      </w:r>
      <w:r w:rsidR="008074E7" w:rsidRPr="00C83EB1">
        <w:rPr>
          <w:rFonts w:ascii="Arial" w:eastAsia="Times New Roman" w:hAnsi="Arial" w:cs="Arial"/>
          <w:color w:val="000000"/>
          <w:sz w:val="20"/>
          <w:szCs w:val="20"/>
          <w:lang w:eastAsia="en-GB"/>
        </w:rPr>
        <w:t xml:space="preserve"> the increased costs of borrowing driven by </w:t>
      </w:r>
      <w:r w:rsidR="00C5315A">
        <w:rPr>
          <w:rFonts w:ascii="Arial" w:eastAsia="Times New Roman" w:hAnsi="Arial" w:cs="Arial"/>
          <w:color w:val="000000"/>
          <w:sz w:val="20"/>
          <w:szCs w:val="20"/>
          <w:lang w:eastAsia="en-GB"/>
        </w:rPr>
        <w:t>higher interest rates</w:t>
      </w:r>
      <w:r w:rsidR="00C5315A" w:rsidRPr="00C83EB1">
        <w:rPr>
          <w:rFonts w:ascii="Arial" w:eastAsia="Times New Roman" w:hAnsi="Arial" w:cs="Arial"/>
          <w:color w:val="000000"/>
          <w:sz w:val="20"/>
          <w:szCs w:val="20"/>
          <w:lang w:eastAsia="en-GB"/>
        </w:rPr>
        <w:t xml:space="preserve"> </w:t>
      </w:r>
      <w:r w:rsidR="008074E7" w:rsidRPr="00C83EB1">
        <w:rPr>
          <w:rFonts w:ascii="Arial" w:eastAsia="Times New Roman" w:hAnsi="Arial" w:cs="Arial"/>
          <w:color w:val="000000"/>
          <w:sz w:val="20"/>
          <w:szCs w:val="20"/>
          <w:lang w:eastAsia="en-GB"/>
        </w:rPr>
        <w:t>and higher levels of utilisation of the Group’s debt facilities</w:t>
      </w:r>
    </w:p>
    <w:p w14:paraId="3A614C80" w14:textId="0B1C8862" w:rsidR="00713AFC" w:rsidRDefault="008074E7" w:rsidP="00713AFC">
      <w:pPr>
        <w:pStyle w:val="ListParagraph"/>
        <w:numPr>
          <w:ilvl w:val="1"/>
          <w:numId w:val="15"/>
        </w:numPr>
        <w:spacing w:line="256" w:lineRule="auto"/>
        <w:rPr>
          <w:rFonts w:ascii="Arial" w:eastAsia="Times New Roman" w:hAnsi="Arial" w:cs="Arial"/>
          <w:color w:val="000000"/>
          <w:sz w:val="20"/>
          <w:szCs w:val="20"/>
          <w:lang w:eastAsia="en-GB"/>
        </w:rPr>
      </w:pPr>
      <w:r w:rsidRPr="00130960">
        <w:rPr>
          <w:rFonts w:ascii="Arial" w:eastAsia="Times New Roman" w:hAnsi="Arial" w:cs="Arial"/>
          <w:color w:val="000000"/>
          <w:sz w:val="20"/>
          <w:szCs w:val="20"/>
          <w:lang w:eastAsia="en-GB"/>
        </w:rPr>
        <w:t>Loss primarily relates to</w:t>
      </w:r>
      <w:r w:rsidR="00BD1A57">
        <w:rPr>
          <w:rFonts w:ascii="Arial" w:eastAsia="Times New Roman" w:hAnsi="Arial" w:cs="Arial"/>
          <w:color w:val="000000"/>
          <w:sz w:val="20"/>
          <w:szCs w:val="20"/>
          <w:lang w:eastAsia="en-GB"/>
        </w:rPr>
        <w:t xml:space="preserve"> </w:t>
      </w:r>
      <w:r w:rsidRPr="00130960">
        <w:rPr>
          <w:rFonts w:ascii="Arial" w:eastAsia="Times New Roman" w:hAnsi="Arial" w:cs="Arial"/>
          <w:color w:val="000000"/>
          <w:sz w:val="20"/>
          <w:szCs w:val="20"/>
          <w:lang w:eastAsia="en-GB"/>
        </w:rPr>
        <w:t xml:space="preserve">acquisition </w:t>
      </w:r>
      <w:r>
        <w:rPr>
          <w:rFonts w:ascii="Arial" w:eastAsia="Times New Roman" w:hAnsi="Arial" w:cs="Arial"/>
          <w:color w:val="000000"/>
          <w:sz w:val="20"/>
          <w:szCs w:val="20"/>
          <w:lang w:eastAsia="en-GB"/>
        </w:rPr>
        <w:t xml:space="preserve">and disposal </w:t>
      </w:r>
      <w:r w:rsidRPr="00130960">
        <w:rPr>
          <w:rFonts w:ascii="Arial" w:eastAsia="Times New Roman" w:hAnsi="Arial" w:cs="Arial"/>
          <w:color w:val="000000"/>
          <w:sz w:val="20"/>
          <w:szCs w:val="20"/>
          <w:lang w:eastAsia="en-GB"/>
        </w:rPr>
        <w:t>costs (including strategic review costs</w:t>
      </w:r>
      <w:r>
        <w:rPr>
          <w:rFonts w:ascii="Arial" w:eastAsia="Times New Roman" w:hAnsi="Arial" w:cs="Arial"/>
          <w:color w:val="000000"/>
          <w:sz w:val="20"/>
          <w:szCs w:val="20"/>
          <w:lang w:eastAsia="en-GB"/>
        </w:rPr>
        <w:t xml:space="preserve">) </w:t>
      </w:r>
      <w:r w:rsidRPr="00130960">
        <w:rPr>
          <w:rFonts w:ascii="Arial" w:eastAsia="Times New Roman" w:hAnsi="Arial" w:cs="Arial"/>
          <w:color w:val="000000"/>
          <w:sz w:val="20"/>
          <w:szCs w:val="20"/>
          <w:lang w:eastAsia="en-GB"/>
        </w:rPr>
        <w:t>and restructuring adjusting items amounting to £</w:t>
      </w:r>
      <w:r w:rsidR="00A578AB">
        <w:rPr>
          <w:rFonts w:ascii="Arial" w:eastAsia="Times New Roman" w:hAnsi="Arial" w:cs="Arial"/>
          <w:color w:val="000000"/>
          <w:sz w:val="20"/>
          <w:szCs w:val="20"/>
          <w:lang w:eastAsia="en-GB"/>
        </w:rPr>
        <w:t>26.0</w:t>
      </w:r>
      <w:r w:rsidRPr="00130960">
        <w:rPr>
          <w:rFonts w:ascii="Arial" w:eastAsia="Times New Roman" w:hAnsi="Arial" w:cs="Arial"/>
          <w:color w:val="000000"/>
          <w:sz w:val="20"/>
          <w:szCs w:val="20"/>
          <w:lang w:eastAsia="en-GB"/>
        </w:rPr>
        <w:t xml:space="preserve"> million (FY23: £</w:t>
      </w:r>
      <w:r w:rsidR="00A578AB">
        <w:rPr>
          <w:rFonts w:ascii="Arial" w:eastAsia="Times New Roman" w:hAnsi="Arial" w:cs="Arial"/>
          <w:color w:val="000000"/>
          <w:sz w:val="20"/>
          <w:szCs w:val="20"/>
          <w:lang w:eastAsia="en-GB"/>
        </w:rPr>
        <w:t>23.8</w:t>
      </w:r>
      <w:r w:rsidRPr="00130960">
        <w:rPr>
          <w:rFonts w:ascii="Arial" w:eastAsia="Times New Roman" w:hAnsi="Arial" w:cs="Arial"/>
          <w:color w:val="000000"/>
          <w:sz w:val="20"/>
          <w:szCs w:val="20"/>
          <w:lang w:eastAsia="en-GB"/>
        </w:rPr>
        <w:t xml:space="preserve"> million) </w:t>
      </w:r>
      <w:r w:rsidR="0077760B">
        <w:rPr>
          <w:rFonts w:ascii="Arial" w:eastAsia="Times New Roman" w:hAnsi="Arial" w:cs="Arial"/>
          <w:color w:val="000000"/>
          <w:sz w:val="20"/>
          <w:szCs w:val="20"/>
          <w:lang w:eastAsia="en-GB"/>
        </w:rPr>
        <w:t xml:space="preserve">which are expected to reduce materially in the </w:t>
      </w:r>
      <w:r w:rsidR="00067F2F">
        <w:rPr>
          <w:rFonts w:ascii="Arial" w:eastAsia="Times New Roman" w:hAnsi="Arial" w:cs="Arial"/>
          <w:color w:val="000000"/>
          <w:sz w:val="20"/>
          <w:szCs w:val="20"/>
          <w:lang w:eastAsia="en-GB"/>
        </w:rPr>
        <w:t xml:space="preserve">current </w:t>
      </w:r>
      <w:r w:rsidR="0077760B">
        <w:rPr>
          <w:rFonts w:ascii="Arial" w:eastAsia="Times New Roman" w:hAnsi="Arial" w:cs="Arial"/>
          <w:color w:val="000000"/>
          <w:sz w:val="20"/>
          <w:szCs w:val="20"/>
          <w:lang w:eastAsia="en-GB"/>
        </w:rPr>
        <w:t xml:space="preserve">financial year </w:t>
      </w:r>
    </w:p>
    <w:p w14:paraId="46BCA22E" w14:textId="77777777" w:rsidR="00713AFC" w:rsidRDefault="00713AFC" w:rsidP="00863469">
      <w:pPr>
        <w:pStyle w:val="ListParagraph"/>
        <w:spacing w:line="256" w:lineRule="auto"/>
        <w:ind w:left="1440"/>
        <w:rPr>
          <w:rFonts w:ascii="Arial" w:eastAsia="Times New Roman" w:hAnsi="Arial" w:cs="Arial"/>
          <w:color w:val="000000"/>
          <w:sz w:val="20"/>
          <w:szCs w:val="20"/>
          <w:lang w:eastAsia="en-GB"/>
        </w:rPr>
      </w:pPr>
    </w:p>
    <w:p w14:paraId="07429AEF" w14:textId="7FA9BD4F" w:rsidR="00713AFC" w:rsidRPr="006400BC" w:rsidRDefault="00713AFC" w:rsidP="00713AFC">
      <w:pPr>
        <w:pStyle w:val="ListParagraph"/>
        <w:numPr>
          <w:ilvl w:val="0"/>
          <w:numId w:val="15"/>
        </w:numPr>
        <w:spacing w:line="256" w:lineRule="auto"/>
        <w:rPr>
          <w:rFonts w:ascii="Arial" w:eastAsia="Times New Roman" w:hAnsi="Arial" w:cs="Arial"/>
          <w:color w:val="000000"/>
          <w:sz w:val="20"/>
          <w:szCs w:val="20"/>
          <w:lang w:eastAsia="en-GB"/>
        </w:rPr>
      </w:pPr>
      <w:r w:rsidRPr="00863469">
        <w:rPr>
          <w:rFonts w:ascii="Arial" w:eastAsia="Times New Roman" w:hAnsi="Arial" w:cs="Arial"/>
          <w:b/>
          <w:bCs/>
          <w:color w:val="000000"/>
          <w:sz w:val="20"/>
          <w:szCs w:val="20"/>
          <w:lang w:eastAsia="en-GB"/>
        </w:rPr>
        <w:lastRenderedPageBreak/>
        <w:t xml:space="preserve">Statutory </w:t>
      </w:r>
      <w:r w:rsidR="009F7E51">
        <w:rPr>
          <w:rFonts w:ascii="Arial" w:eastAsia="Times New Roman" w:hAnsi="Arial" w:cs="Arial"/>
          <w:b/>
          <w:bCs/>
          <w:color w:val="000000"/>
          <w:sz w:val="20"/>
          <w:szCs w:val="20"/>
          <w:lang w:eastAsia="en-GB"/>
        </w:rPr>
        <w:t xml:space="preserve">loss </w:t>
      </w:r>
      <w:r w:rsidRPr="00863469">
        <w:rPr>
          <w:rFonts w:ascii="Arial" w:eastAsia="Times New Roman" w:hAnsi="Arial" w:cs="Arial"/>
          <w:b/>
          <w:bCs/>
          <w:color w:val="000000"/>
          <w:sz w:val="20"/>
          <w:szCs w:val="20"/>
          <w:lang w:eastAsia="en-GB"/>
        </w:rPr>
        <w:t xml:space="preserve">per share of </w:t>
      </w:r>
      <w:r w:rsidR="00BD1A57">
        <w:rPr>
          <w:rFonts w:ascii="Arial" w:eastAsia="Times New Roman" w:hAnsi="Arial" w:cs="Arial"/>
          <w:b/>
          <w:bCs/>
          <w:color w:val="000000"/>
          <w:sz w:val="20"/>
          <w:szCs w:val="20"/>
          <w:lang w:eastAsia="en-GB"/>
        </w:rPr>
        <w:t>10.6</w:t>
      </w:r>
      <w:r w:rsidRPr="00863469">
        <w:rPr>
          <w:rFonts w:ascii="Arial" w:eastAsia="Times New Roman" w:hAnsi="Arial" w:cs="Arial"/>
          <w:b/>
          <w:bCs/>
          <w:color w:val="000000"/>
          <w:sz w:val="20"/>
          <w:szCs w:val="20"/>
          <w:lang w:eastAsia="en-GB"/>
        </w:rPr>
        <w:t xml:space="preserve"> </w:t>
      </w:r>
      <w:r w:rsidR="009F7E51">
        <w:rPr>
          <w:rFonts w:ascii="Arial" w:eastAsia="Times New Roman" w:hAnsi="Arial" w:cs="Arial"/>
          <w:b/>
          <w:bCs/>
          <w:color w:val="000000"/>
          <w:sz w:val="20"/>
          <w:szCs w:val="20"/>
          <w:lang w:eastAsia="en-GB"/>
        </w:rPr>
        <w:t>pence</w:t>
      </w:r>
      <w:r w:rsidR="00BD1A57">
        <w:rPr>
          <w:rFonts w:ascii="Arial" w:eastAsia="Times New Roman" w:hAnsi="Arial" w:cs="Arial"/>
          <w:b/>
          <w:bCs/>
          <w:color w:val="000000"/>
          <w:sz w:val="20"/>
          <w:szCs w:val="20"/>
          <w:lang w:eastAsia="en-GB"/>
        </w:rPr>
        <w:t xml:space="preserve"> </w:t>
      </w:r>
      <w:r w:rsidR="00BD1A57" w:rsidRPr="00863469">
        <w:rPr>
          <w:rFonts w:ascii="Arial" w:eastAsia="Times New Roman" w:hAnsi="Arial" w:cs="Arial"/>
          <w:color w:val="000000"/>
          <w:sz w:val="20"/>
          <w:szCs w:val="20"/>
          <w:lang w:eastAsia="en-GB"/>
        </w:rPr>
        <w:t>(FY23: 3.9 pence)</w:t>
      </w:r>
    </w:p>
    <w:p w14:paraId="356260F9" w14:textId="77777777" w:rsidR="00713AFC" w:rsidRPr="00713AFC" w:rsidRDefault="00713AFC" w:rsidP="00863469">
      <w:pPr>
        <w:pStyle w:val="ListParagraph"/>
        <w:spacing w:line="256" w:lineRule="auto"/>
        <w:rPr>
          <w:rFonts w:ascii="Arial" w:eastAsia="Times New Roman" w:hAnsi="Arial" w:cs="Arial"/>
          <w:color w:val="000000"/>
          <w:sz w:val="20"/>
          <w:szCs w:val="20"/>
          <w:lang w:eastAsia="en-GB"/>
        </w:rPr>
      </w:pPr>
    </w:p>
    <w:p w14:paraId="10EF36ED" w14:textId="5C70D6E1" w:rsidR="00713AFC" w:rsidRPr="00863469" w:rsidRDefault="00713AFC" w:rsidP="00713AFC">
      <w:pPr>
        <w:pStyle w:val="ListParagraph"/>
        <w:numPr>
          <w:ilvl w:val="0"/>
          <w:numId w:val="11"/>
        </w:numPr>
        <w:spacing w:after="0" w:line="253" w:lineRule="atLeast"/>
        <w:rPr>
          <w:rFonts w:ascii="Arial" w:eastAsia="Times New Roman" w:hAnsi="Arial" w:cs="Arial"/>
          <w:b/>
          <w:bCs/>
          <w:i/>
          <w:iCs/>
          <w:color w:val="000000"/>
          <w:sz w:val="20"/>
          <w:szCs w:val="20"/>
          <w:lang w:eastAsia="en-GB"/>
        </w:rPr>
      </w:pPr>
      <w:r w:rsidRPr="00863469">
        <w:rPr>
          <w:rFonts w:ascii="Arial" w:eastAsia="Times New Roman" w:hAnsi="Arial" w:cs="Arial"/>
          <w:b/>
          <w:bCs/>
          <w:color w:val="000000"/>
          <w:sz w:val="20"/>
          <w:szCs w:val="20"/>
          <w:lang w:eastAsia="en-GB"/>
        </w:rPr>
        <w:t>Strong balance sheet</w:t>
      </w:r>
      <w:r w:rsidR="00154A12">
        <w:rPr>
          <w:rFonts w:ascii="Arial" w:eastAsia="Times New Roman" w:hAnsi="Arial" w:cs="Arial"/>
          <w:b/>
          <w:bCs/>
          <w:color w:val="000000"/>
          <w:sz w:val="20"/>
          <w:szCs w:val="20"/>
          <w:lang w:eastAsia="en-GB"/>
        </w:rPr>
        <w:t xml:space="preserve"> following Divestment</w:t>
      </w:r>
    </w:p>
    <w:p w14:paraId="085EE56C" w14:textId="473B87A9" w:rsidR="00713AFC" w:rsidRPr="00863469" w:rsidRDefault="00713AFC" w:rsidP="00863469">
      <w:pPr>
        <w:pStyle w:val="ListParagraph"/>
        <w:numPr>
          <w:ilvl w:val="1"/>
          <w:numId w:val="11"/>
        </w:numPr>
        <w:spacing w:after="0" w:line="253" w:lineRule="atLeast"/>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 xml:space="preserve">Net debt (excluding leases) reducing </w:t>
      </w:r>
      <w:r w:rsidR="00B2753E">
        <w:rPr>
          <w:rFonts w:ascii="Arial" w:eastAsia="Times New Roman" w:hAnsi="Arial" w:cs="Arial"/>
          <w:color w:val="000000"/>
          <w:sz w:val="20"/>
          <w:szCs w:val="20"/>
          <w:lang w:eastAsia="en-GB"/>
        </w:rPr>
        <w:t xml:space="preserve">in the second half of the year </w:t>
      </w:r>
      <w:r>
        <w:rPr>
          <w:rFonts w:ascii="Arial" w:eastAsia="Times New Roman" w:hAnsi="Arial" w:cs="Arial"/>
          <w:color w:val="000000"/>
          <w:sz w:val="20"/>
          <w:szCs w:val="20"/>
          <w:lang w:eastAsia="en-GB"/>
        </w:rPr>
        <w:t xml:space="preserve">to £176.6 million </w:t>
      </w:r>
      <w:proofErr w:type="gramStart"/>
      <w:r w:rsidR="00167229">
        <w:rPr>
          <w:rFonts w:ascii="Arial" w:eastAsia="Times New Roman" w:hAnsi="Arial" w:cs="Arial"/>
          <w:color w:val="000000"/>
          <w:sz w:val="20"/>
          <w:szCs w:val="20"/>
          <w:lang w:eastAsia="en-GB"/>
        </w:rPr>
        <w:t>at</w:t>
      </w:r>
      <w:proofErr w:type="gramEnd"/>
      <w:r w:rsidR="00167229">
        <w:rPr>
          <w:rFonts w:ascii="Arial" w:eastAsia="Times New Roman" w:hAnsi="Arial" w:cs="Arial"/>
          <w:color w:val="000000"/>
          <w:sz w:val="20"/>
          <w:szCs w:val="20"/>
          <w:lang w:eastAsia="en-GB"/>
        </w:rPr>
        <w:t xml:space="preserve"> 31 March 2024 </w:t>
      </w:r>
      <w:r w:rsidR="00635E3A">
        <w:rPr>
          <w:rFonts w:ascii="Arial" w:eastAsia="Times New Roman" w:hAnsi="Arial" w:cs="Arial"/>
          <w:color w:val="000000"/>
          <w:sz w:val="20"/>
          <w:szCs w:val="20"/>
          <w:lang w:eastAsia="en-GB"/>
        </w:rPr>
        <w:t xml:space="preserve">from £192.7 million as at </w:t>
      </w:r>
      <w:r>
        <w:rPr>
          <w:rFonts w:ascii="Arial" w:eastAsia="Times New Roman" w:hAnsi="Arial" w:cs="Arial"/>
          <w:color w:val="000000"/>
          <w:sz w:val="20"/>
          <w:szCs w:val="20"/>
          <w:lang w:eastAsia="en-GB"/>
        </w:rPr>
        <w:t>30 September 2023</w:t>
      </w:r>
      <w:r w:rsidR="00635E3A">
        <w:rPr>
          <w:rFonts w:ascii="Arial" w:eastAsia="Times New Roman" w:hAnsi="Arial" w:cs="Arial"/>
          <w:color w:val="000000"/>
          <w:sz w:val="20"/>
          <w:szCs w:val="20"/>
          <w:lang w:eastAsia="en-GB"/>
        </w:rPr>
        <w:t xml:space="preserve"> (31 March 2023: £160.8 million)</w:t>
      </w:r>
    </w:p>
    <w:p w14:paraId="290C471A" w14:textId="750195C6" w:rsidR="00713AFC" w:rsidRPr="00F72BA1" w:rsidRDefault="00713AFC" w:rsidP="00713AFC">
      <w:pPr>
        <w:pStyle w:val="ListParagraph"/>
        <w:numPr>
          <w:ilvl w:val="1"/>
          <w:numId w:val="11"/>
        </w:numPr>
        <w:spacing w:after="0" w:line="253" w:lineRule="atLeast"/>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Following the Divestment</w:t>
      </w:r>
      <w:r w:rsidR="00A578AB">
        <w:rPr>
          <w:rFonts w:ascii="Arial" w:eastAsia="Times New Roman" w:hAnsi="Arial" w:cs="Arial"/>
          <w:color w:val="000000"/>
          <w:sz w:val="20"/>
          <w:szCs w:val="20"/>
          <w:lang w:eastAsia="en-GB"/>
        </w:rPr>
        <w:t xml:space="preserve"> and payment of a £150 million special dividend</w:t>
      </w:r>
      <w:r w:rsidR="00167229">
        <w:rPr>
          <w:rFonts w:ascii="Arial" w:eastAsia="Times New Roman" w:hAnsi="Arial" w:cs="Arial"/>
          <w:color w:val="000000"/>
          <w:sz w:val="20"/>
          <w:szCs w:val="20"/>
          <w:lang w:eastAsia="en-GB"/>
        </w:rPr>
        <w:t xml:space="preserve"> and the commencement of the share buy-back programme</w:t>
      </w:r>
      <w:r w:rsidR="00A578A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the Group now has a material net cash balance </w:t>
      </w:r>
    </w:p>
    <w:p w14:paraId="3AF1F928" w14:textId="1E7A4336" w:rsidR="008D05A6" w:rsidRPr="00F72BA1" w:rsidRDefault="008D05A6" w:rsidP="008D05A6">
      <w:pPr>
        <w:pStyle w:val="ListParagraph"/>
        <w:numPr>
          <w:ilvl w:val="1"/>
          <w:numId w:val="11"/>
        </w:numPr>
        <w:spacing w:after="0" w:line="253" w:lineRule="atLeast"/>
        <w:rPr>
          <w:rFonts w:ascii="Arial" w:eastAsia="Times New Roman" w:hAnsi="Arial" w:cs="Arial"/>
          <w:color w:val="000000"/>
          <w:sz w:val="20"/>
          <w:szCs w:val="20"/>
          <w:lang w:eastAsia="en-GB"/>
        </w:rPr>
      </w:pPr>
      <w:r w:rsidRPr="00F72BA1">
        <w:rPr>
          <w:rFonts w:ascii="Arial" w:eastAsia="Times New Roman" w:hAnsi="Arial" w:cs="Arial"/>
          <w:color w:val="000000"/>
          <w:sz w:val="20"/>
          <w:szCs w:val="20"/>
          <w:lang w:eastAsia="en-GB"/>
        </w:rPr>
        <w:t xml:space="preserve">Group generated £83.8 million (FY23: £74.3 million) </w:t>
      </w:r>
      <w:r w:rsidR="00FF7027">
        <w:rPr>
          <w:rFonts w:ascii="Arial" w:eastAsia="Times New Roman" w:hAnsi="Arial" w:cs="Arial"/>
          <w:color w:val="000000"/>
          <w:sz w:val="20"/>
          <w:szCs w:val="20"/>
          <w:lang w:eastAsia="en-GB"/>
        </w:rPr>
        <w:t xml:space="preserve">adjusted </w:t>
      </w:r>
      <w:r w:rsidRPr="00F72BA1">
        <w:rPr>
          <w:rFonts w:ascii="Arial" w:eastAsia="Times New Roman" w:hAnsi="Arial" w:cs="Arial"/>
          <w:color w:val="000000"/>
          <w:sz w:val="20"/>
          <w:szCs w:val="20"/>
          <w:lang w:eastAsia="en-GB"/>
        </w:rPr>
        <w:t xml:space="preserve">net cash from </w:t>
      </w:r>
      <w:r w:rsidR="000E5830">
        <w:rPr>
          <w:rFonts w:ascii="Arial" w:eastAsia="Times New Roman" w:hAnsi="Arial" w:cs="Arial"/>
          <w:color w:val="000000"/>
          <w:sz w:val="20"/>
          <w:szCs w:val="20"/>
          <w:lang w:eastAsia="en-GB"/>
        </w:rPr>
        <w:t>operations</w:t>
      </w:r>
      <w:r w:rsidRPr="00F72BA1">
        <w:rPr>
          <w:rFonts w:ascii="Arial" w:eastAsia="Times New Roman" w:hAnsi="Arial" w:cs="Arial"/>
          <w:color w:val="000000"/>
          <w:sz w:val="20"/>
          <w:szCs w:val="20"/>
          <w:lang w:eastAsia="en-GB"/>
        </w:rPr>
        <w:t xml:space="preserve"> before acquisitions &amp; restructuring investment (including strategic review costs) during FY24</w:t>
      </w:r>
    </w:p>
    <w:p w14:paraId="62F45C93" w14:textId="78E96805" w:rsidR="008D05A6" w:rsidRPr="00F72BA1" w:rsidRDefault="0081287D" w:rsidP="008D05A6">
      <w:pPr>
        <w:pStyle w:val="ListParagraph"/>
        <w:numPr>
          <w:ilvl w:val="1"/>
          <w:numId w:val="11"/>
        </w:numPr>
        <w:spacing w:after="0" w:line="253"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r w:rsidR="008D05A6" w:rsidRPr="00F72BA1">
        <w:rPr>
          <w:rFonts w:ascii="Arial" w:eastAsia="Times New Roman" w:hAnsi="Arial" w:cs="Arial"/>
          <w:color w:val="000000"/>
          <w:sz w:val="20"/>
          <w:szCs w:val="20"/>
          <w:lang w:eastAsia="en-GB"/>
        </w:rPr>
        <w:t xml:space="preserve">ash generated from </w:t>
      </w:r>
      <w:r w:rsidR="000E5830">
        <w:rPr>
          <w:rFonts w:ascii="Arial" w:eastAsia="Times New Roman" w:hAnsi="Arial" w:cs="Arial"/>
          <w:color w:val="000000"/>
          <w:sz w:val="20"/>
          <w:szCs w:val="20"/>
          <w:lang w:eastAsia="en-GB"/>
        </w:rPr>
        <w:t>operations</w:t>
      </w:r>
      <w:r>
        <w:rPr>
          <w:rFonts w:ascii="Arial" w:eastAsia="Times New Roman" w:hAnsi="Arial" w:cs="Arial"/>
          <w:color w:val="000000"/>
          <w:sz w:val="20"/>
          <w:szCs w:val="20"/>
          <w:lang w:eastAsia="en-GB"/>
        </w:rPr>
        <w:t xml:space="preserve"> </w:t>
      </w:r>
      <w:r w:rsidR="008D05A6" w:rsidRPr="00F72BA1">
        <w:rPr>
          <w:rFonts w:ascii="Arial" w:eastAsia="Times New Roman" w:hAnsi="Arial" w:cs="Arial"/>
          <w:color w:val="000000"/>
          <w:sz w:val="20"/>
          <w:szCs w:val="20"/>
          <w:lang w:eastAsia="en-GB"/>
        </w:rPr>
        <w:t>of £57.8 million (FY23: £50.5 million)</w:t>
      </w:r>
    </w:p>
    <w:p w14:paraId="4E9A8CDB" w14:textId="77777777" w:rsidR="008074E7" w:rsidRDefault="008074E7" w:rsidP="00885552">
      <w:pPr>
        <w:spacing w:after="0" w:line="253" w:lineRule="atLeast"/>
        <w:rPr>
          <w:rFonts w:ascii="Arial" w:eastAsia="Times New Roman" w:hAnsi="Arial" w:cs="Arial"/>
          <w:b/>
          <w:bCs/>
          <w:color w:val="000000"/>
          <w:sz w:val="20"/>
          <w:szCs w:val="20"/>
          <w:lang w:eastAsia="en-GB"/>
        </w:rPr>
      </w:pPr>
    </w:p>
    <w:p w14:paraId="2E8FB906" w14:textId="4ED32574" w:rsidR="000F1C37" w:rsidRDefault="0055076E" w:rsidP="000F1C37">
      <w:pPr>
        <w:spacing w:after="0" w:line="253" w:lineRule="atLeast"/>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B</w:t>
      </w:r>
      <w:r w:rsidR="00B16A1C">
        <w:rPr>
          <w:rFonts w:ascii="Arial" w:eastAsia="Times New Roman" w:hAnsi="Arial" w:cs="Arial"/>
          <w:b/>
          <w:bCs/>
          <w:color w:val="000000"/>
          <w:sz w:val="20"/>
          <w:szCs w:val="20"/>
          <w:lang w:eastAsia="en-GB"/>
        </w:rPr>
        <w:t>usiness</w:t>
      </w:r>
      <w:r w:rsidR="00B16A1C" w:rsidRPr="004956E7">
        <w:rPr>
          <w:rFonts w:ascii="Arial" w:eastAsia="Times New Roman" w:hAnsi="Arial" w:cs="Arial"/>
          <w:b/>
          <w:bCs/>
          <w:color w:val="000000"/>
          <w:sz w:val="20"/>
          <w:szCs w:val="20"/>
          <w:lang w:eastAsia="en-GB"/>
        </w:rPr>
        <w:t xml:space="preserve"> </w:t>
      </w:r>
      <w:r w:rsidR="00167229">
        <w:rPr>
          <w:rFonts w:ascii="Arial" w:eastAsia="Times New Roman" w:hAnsi="Arial" w:cs="Arial"/>
          <w:b/>
          <w:bCs/>
          <w:color w:val="000000"/>
          <w:sz w:val="20"/>
          <w:szCs w:val="20"/>
          <w:lang w:eastAsia="en-GB"/>
        </w:rPr>
        <w:t>review of</w:t>
      </w:r>
      <w:r>
        <w:rPr>
          <w:rFonts w:ascii="Arial" w:eastAsia="Times New Roman" w:hAnsi="Arial" w:cs="Arial"/>
          <w:b/>
          <w:bCs/>
          <w:color w:val="000000"/>
          <w:sz w:val="20"/>
          <w:szCs w:val="20"/>
          <w:lang w:eastAsia="en-GB"/>
        </w:rPr>
        <w:t xml:space="preserve"> continuing operation</w:t>
      </w:r>
      <w:r w:rsidR="00167229" w:rsidRPr="00F72BA1">
        <w:rPr>
          <w:rFonts w:ascii="Arial" w:eastAsia="Times New Roman" w:hAnsi="Arial" w:cs="Arial"/>
          <w:b/>
          <w:bCs/>
          <w:color w:val="000000"/>
          <w:sz w:val="20"/>
          <w:szCs w:val="20"/>
          <w:lang w:eastAsia="en-GB"/>
        </w:rPr>
        <w:t>s</w:t>
      </w:r>
    </w:p>
    <w:p w14:paraId="443EB744" w14:textId="77777777" w:rsidR="00067F2F" w:rsidRDefault="00067F2F" w:rsidP="000F1C37">
      <w:pPr>
        <w:spacing w:after="0" w:line="253" w:lineRule="atLeast"/>
        <w:rPr>
          <w:rFonts w:ascii="Arial" w:eastAsia="Times New Roman" w:hAnsi="Arial" w:cs="Arial"/>
          <w:b/>
          <w:bCs/>
          <w:color w:val="000000"/>
          <w:sz w:val="20"/>
          <w:szCs w:val="20"/>
          <w:u w:val="single"/>
          <w:lang w:eastAsia="en-GB"/>
        </w:rPr>
      </w:pPr>
    </w:p>
    <w:p w14:paraId="2722BD85" w14:textId="68A0F578" w:rsidR="00067F2F" w:rsidRPr="00F72BA1" w:rsidRDefault="00067F2F" w:rsidP="00067F2F">
      <w:pPr>
        <w:pStyle w:val="ListParagraph"/>
        <w:numPr>
          <w:ilvl w:val="0"/>
          <w:numId w:val="11"/>
        </w:numPr>
        <w:spacing w:after="0" w:line="253" w:lineRule="atLeast"/>
        <w:rPr>
          <w:rFonts w:ascii="Arial" w:eastAsia="Times New Roman" w:hAnsi="Arial" w:cs="Arial"/>
          <w:i/>
          <w:iCs/>
          <w:color w:val="000000"/>
          <w:sz w:val="20"/>
          <w:szCs w:val="20"/>
          <w:lang w:eastAsia="en-GB"/>
        </w:rPr>
      </w:pPr>
      <w:r>
        <w:rPr>
          <w:rFonts w:ascii="Arial" w:eastAsia="Times New Roman" w:hAnsi="Arial" w:cs="Arial"/>
          <w:b/>
          <w:bCs/>
          <w:color w:val="000000"/>
          <w:sz w:val="20"/>
          <w:szCs w:val="20"/>
          <w:lang w:eastAsia="en-GB"/>
        </w:rPr>
        <w:t xml:space="preserve">Continuing operations revenue up 5% </w:t>
      </w:r>
      <w:r w:rsidR="00FF7027">
        <w:rPr>
          <w:rFonts w:ascii="Arial" w:eastAsia="Times New Roman" w:hAnsi="Arial" w:cs="Arial"/>
          <w:b/>
          <w:bCs/>
          <w:color w:val="000000"/>
          <w:sz w:val="20"/>
          <w:szCs w:val="20"/>
          <w:lang w:eastAsia="en-GB"/>
        </w:rPr>
        <w:t>to £</w:t>
      </w:r>
      <w:r>
        <w:rPr>
          <w:rFonts w:ascii="Arial" w:eastAsia="Times New Roman" w:hAnsi="Arial" w:cs="Arial"/>
          <w:b/>
          <w:bCs/>
          <w:color w:val="000000"/>
          <w:sz w:val="20"/>
          <w:szCs w:val="20"/>
          <w:lang w:eastAsia="en-GB"/>
        </w:rPr>
        <w:t xml:space="preserve">402.9m </w:t>
      </w:r>
    </w:p>
    <w:p w14:paraId="4F3AC6C8" w14:textId="6B90C938" w:rsidR="00067F2F" w:rsidRPr="00F72BA1" w:rsidRDefault="00067F2F" w:rsidP="00F72BA1">
      <w:pPr>
        <w:pStyle w:val="ListParagraph"/>
        <w:numPr>
          <w:ilvl w:val="1"/>
          <w:numId w:val="11"/>
        </w:numPr>
        <w:spacing w:after="0" w:line="253" w:lineRule="atLeast"/>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Organic growth of 1%</w:t>
      </w:r>
      <w:r w:rsidR="00FF7027">
        <w:rPr>
          <w:rStyle w:val="FootnoteReference"/>
          <w:rFonts w:ascii="Arial" w:eastAsia="Times New Roman" w:hAnsi="Arial" w:cs="Arial"/>
          <w:color w:val="000000"/>
          <w:sz w:val="20"/>
          <w:szCs w:val="20"/>
          <w:lang w:eastAsia="en-GB"/>
        </w:rPr>
        <w:footnoteReference w:id="2"/>
      </w:r>
      <w:r>
        <w:rPr>
          <w:rFonts w:ascii="Arial" w:eastAsia="Times New Roman" w:hAnsi="Arial" w:cs="Arial"/>
          <w:color w:val="000000"/>
          <w:sz w:val="20"/>
          <w:szCs w:val="20"/>
          <w:lang w:eastAsia="en-GB"/>
        </w:rPr>
        <w:t xml:space="preserve"> </w:t>
      </w:r>
    </w:p>
    <w:p w14:paraId="53BADC8F" w14:textId="77777777" w:rsidR="00067F2F" w:rsidRPr="00F72BA1" w:rsidRDefault="00067F2F" w:rsidP="00F72BA1">
      <w:pPr>
        <w:pStyle w:val="ListParagraph"/>
        <w:spacing w:after="0" w:line="253" w:lineRule="atLeast"/>
        <w:rPr>
          <w:rFonts w:ascii="Arial" w:eastAsia="Times New Roman" w:hAnsi="Arial" w:cs="Arial"/>
          <w:i/>
          <w:iCs/>
          <w:color w:val="000000"/>
          <w:sz w:val="20"/>
          <w:szCs w:val="20"/>
          <w:lang w:eastAsia="en-GB"/>
        </w:rPr>
      </w:pPr>
    </w:p>
    <w:p w14:paraId="78293501" w14:textId="1A555613" w:rsidR="000F1C37" w:rsidRPr="000F1C37" w:rsidRDefault="000F1C37" w:rsidP="000F1C37">
      <w:pPr>
        <w:pStyle w:val="ListParagraph"/>
        <w:numPr>
          <w:ilvl w:val="0"/>
          <w:numId w:val="11"/>
        </w:numPr>
        <w:spacing w:after="0" w:line="253" w:lineRule="atLeast"/>
        <w:rPr>
          <w:rFonts w:ascii="Arial" w:eastAsia="Times New Roman" w:hAnsi="Arial" w:cs="Arial"/>
          <w:b/>
          <w:bCs/>
          <w:i/>
          <w:iCs/>
          <w:color w:val="000000"/>
          <w:sz w:val="20"/>
          <w:szCs w:val="20"/>
          <w:lang w:eastAsia="en-GB"/>
        </w:rPr>
      </w:pPr>
      <w:r w:rsidRPr="000F1C37">
        <w:rPr>
          <w:rFonts w:ascii="Arial" w:eastAsia="Times New Roman" w:hAnsi="Arial" w:cs="Arial"/>
          <w:b/>
          <w:bCs/>
          <w:color w:val="000000"/>
          <w:sz w:val="20"/>
          <w:szCs w:val="20"/>
          <w:lang w:eastAsia="en-GB"/>
        </w:rPr>
        <w:t>T</w:t>
      </w:r>
      <w:r>
        <w:rPr>
          <w:rFonts w:ascii="Arial" w:eastAsia="Times New Roman" w:hAnsi="Arial" w:cs="Arial"/>
          <w:b/>
          <w:bCs/>
          <w:color w:val="000000"/>
          <w:sz w:val="20"/>
          <w:szCs w:val="20"/>
          <w:lang w:eastAsia="en-GB"/>
        </w:rPr>
        <w:t xml:space="preserve">IC revenue up </w:t>
      </w:r>
      <w:r w:rsidR="008F5B35">
        <w:rPr>
          <w:rFonts w:ascii="Arial" w:eastAsia="Times New Roman" w:hAnsi="Arial" w:cs="Arial"/>
          <w:b/>
          <w:bCs/>
          <w:color w:val="000000"/>
          <w:sz w:val="20"/>
          <w:szCs w:val="20"/>
          <w:lang w:eastAsia="en-GB"/>
        </w:rPr>
        <w:t>10</w:t>
      </w:r>
      <w:r>
        <w:rPr>
          <w:rFonts w:ascii="Arial" w:eastAsia="Times New Roman" w:hAnsi="Arial" w:cs="Arial"/>
          <w:b/>
          <w:bCs/>
          <w:color w:val="000000"/>
          <w:sz w:val="20"/>
          <w:szCs w:val="20"/>
          <w:lang w:eastAsia="en-GB"/>
        </w:rPr>
        <w:t>%</w:t>
      </w:r>
      <w:r w:rsidR="00E23C07">
        <w:rPr>
          <w:rFonts w:ascii="Arial" w:eastAsia="Times New Roman" w:hAnsi="Arial" w:cs="Arial"/>
          <w:b/>
          <w:bCs/>
          <w:color w:val="000000"/>
          <w:sz w:val="20"/>
          <w:szCs w:val="20"/>
          <w:lang w:eastAsia="en-GB"/>
        </w:rPr>
        <w:t xml:space="preserve"> to </w:t>
      </w:r>
      <w:r w:rsidR="00A262D2">
        <w:rPr>
          <w:rFonts w:ascii="Arial" w:eastAsia="Times New Roman" w:hAnsi="Arial" w:cs="Arial"/>
          <w:b/>
          <w:bCs/>
          <w:color w:val="000000"/>
          <w:sz w:val="20"/>
          <w:szCs w:val="20"/>
          <w:lang w:eastAsia="en-GB"/>
        </w:rPr>
        <w:t>£292.</w:t>
      </w:r>
      <w:r w:rsidR="00A578AB">
        <w:rPr>
          <w:rFonts w:ascii="Arial" w:eastAsia="Times New Roman" w:hAnsi="Arial" w:cs="Arial"/>
          <w:b/>
          <w:bCs/>
          <w:color w:val="000000"/>
          <w:sz w:val="20"/>
          <w:szCs w:val="20"/>
          <w:lang w:eastAsia="en-GB"/>
        </w:rPr>
        <w:t>3</w:t>
      </w:r>
      <w:r w:rsidR="00E23C07">
        <w:rPr>
          <w:rFonts w:ascii="Arial" w:eastAsia="Times New Roman" w:hAnsi="Arial" w:cs="Arial"/>
          <w:b/>
          <w:bCs/>
          <w:color w:val="000000"/>
          <w:sz w:val="20"/>
          <w:szCs w:val="20"/>
          <w:lang w:eastAsia="en-GB"/>
        </w:rPr>
        <w:t xml:space="preserve"> million</w:t>
      </w:r>
    </w:p>
    <w:p w14:paraId="734D50FF" w14:textId="719B1DB8" w:rsidR="000F1C37" w:rsidRPr="000F1C37" w:rsidRDefault="000F1C37" w:rsidP="000F1C37">
      <w:pPr>
        <w:pStyle w:val="ListParagraph"/>
        <w:numPr>
          <w:ilvl w:val="1"/>
          <w:numId w:val="11"/>
        </w:numPr>
        <w:spacing w:after="0" w:line="253" w:lineRule="atLeast"/>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 xml:space="preserve">Organic growth of </w:t>
      </w:r>
      <w:r w:rsidR="00C51267">
        <w:rPr>
          <w:rFonts w:ascii="Arial" w:eastAsia="Times New Roman" w:hAnsi="Arial" w:cs="Arial"/>
          <w:color w:val="000000"/>
          <w:sz w:val="20"/>
          <w:szCs w:val="20"/>
          <w:lang w:eastAsia="en-GB"/>
        </w:rPr>
        <w:t>4</w:t>
      </w:r>
      <w:r>
        <w:rPr>
          <w:rFonts w:ascii="Arial" w:eastAsia="Times New Roman" w:hAnsi="Arial" w:cs="Arial"/>
          <w:color w:val="000000"/>
          <w:sz w:val="20"/>
          <w:szCs w:val="20"/>
          <w:lang w:eastAsia="en-GB"/>
        </w:rPr>
        <w:t>%</w:t>
      </w:r>
      <w:r w:rsidR="00154A12">
        <w:rPr>
          <w:rStyle w:val="FootnoteReference"/>
          <w:rFonts w:ascii="Arial" w:eastAsia="Times New Roman" w:hAnsi="Arial" w:cs="Arial"/>
          <w:color w:val="000000"/>
          <w:sz w:val="20"/>
          <w:szCs w:val="20"/>
          <w:lang w:eastAsia="en-GB"/>
        </w:rPr>
        <w:footnoteReference w:id="3"/>
      </w:r>
      <w:r>
        <w:rPr>
          <w:rFonts w:ascii="Arial" w:eastAsia="Times New Roman" w:hAnsi="Arial" w:cs="Arial"/>
          <w:color w:val="000000"/>
          <w:sz w:val="20"/>
          <w:szCs w:val="20"/>
          <w:lang w:eastAsia="en-GB"/>
        </w:rPr>
        <w:t xml:space="preserve"> </w:t>
      </w:r>
      <w:r w:rsidR="005926F2">
        <w:rPr>
          <w:rFonts w:ascii="Arial" w:eastAsia="Times New Roman" w:hAnsi="Arial" w:cs="Arial"/>
          <w:color w:val="000000"/>
          <w:sz w:val="20"/>
          <w:szCs w:val="20"/>
          <w:lang w:eastAsia="en-GB"/>
        </w:rPr>
        <w:t xml:space="preserve">against strong </w:t>
      </w:r>
      <w:r>
        <w:rPr>
          <w:rFonts w:ascii="Arial" w:eastAsia="Times New Roman" w:hAnsi="Arial" w:cs="Arial"/>
          <w:color w:val="000000"/>
          <w:sz w:val="20"/>
          <w:szCs w:val="20"/>
          <w:lang w:eastAsia="en-GB"/>
        </w:rPr>
        <w:t xml:space="preserve">prior year </w:t>
      </w:r>
      <w:r w:rsidR="005926F2">
        <w:rPr>
          <w:rFonts w:ascii="Arial" w:eastAsia="Times New Roman" w:hAnsi="Arial" w:cs="Arial"/>
          <w:color w:val="000000"/>
          <w:sz w:val="20"/>
          <w:szCs w:val="20"/>
          <w:lang w:eastAsia="en-GB"/>
        </w:rPr>
        <w:t>comparator</w:t>
      </w:r>
    </w:p>
    <w:p w14:paraId="4098DEE0" w14:textId="4F26946C" w:rsidR="008A69B9" w:rsidRPr="008A69B9" w:rsidRDefault="005926F2" w:rsidP="008A69B9">
      <w:pPr>
        <w:pStyle w:val="ListParagraph"/>
        <w:numPr>
          <w:ilvl w:val="1"/>
          <w:numId w:val="11"/>
        </w:numPr>
        <w:spacing w:after="0" w:line="253" w:lineRule="atLeast"/>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 xml:space="preserve">Deepening </w:t>
      </w:r>
      <w:r w:rsidR="000352CF">
        <w:rPr>
          <w:rFonts w:ascii="Arial" w:eastAsia="Times New Roman" w:hAnsi="Arial" w:cs="Arial"/>
          <w:color w:val="000000"/>
          <w:sz w:val="20"/>
          <w:szCs w:val="20"/>
          <w:lang w:eastAsia="en-GB"/>
        </w:rPr>
        <w:t xml:space="preserve">our </w:t>
      </w:r>
      <w:r w:rsidR="008A69B9">
        <w:rPr>
          <w:rFonts w:ascii="Arial" w:eastAsia="Times New Roman" w:hAnsi="Arial" w:cs="Arial"/>
          <w:color w:val="000000"/>
          <w:sz w:val="20"/>
          <w:szCs w:val="20"/>
          <w:lang w:eastAsia="en-GB"/>
        </w:rPr>
        <w:t>presence across Fire Safety &amp; Security through four bolt</w:t>
      </w:r>
      <w:r>
        <w:rPr>
          <w:rFonts w:ascii="Arial" w:eastAsia="Times New Roman" w:hAnsi="Arial" w:cs="Arial"/>
          <w:color w:val="000000"/>
          <w:sz w:val="20"/>
          <w:szCs w:val="20"/>
          <w:lang w:eastAsia="en-GB"/>
        </w:rPr>
        <w:t xml:space="preserve">-on </w:t>
      </w:r>
      <w:r w:rsidR="008A69B9">
        <w:rPr>
          <w:rFonts w:ascii="Arial" w:eastAsia="Times New Roman" w:hAnsi="Arial" w:cs="Arial"/>
          <w:color w:val="000000"/>
          <w:sz w:val="20"/>
          <w:szCs w:val="20"/>
          <w:lang w:eastAsia="en-GB"/>
        </w:rPr>
        <w:t xml:space="preserve">acquisitions in </w:t>
      </w:r>
      <w:r>
        <w:rPr>
          <w:rFonts w:ascii="Arial" w:eastAsia="Times New Roman" w:hAnsi="Arial" w:cs="Arial"/>
          <w:color w:val="000000"/>
          <w:sz w:val="20"/>
          <w:szCs w:val="20"/>
          <w:lang w:eastAsia="en-GB"/>
        </w:rPr>
        <w:t>H1</w:t>
      </w:r>
    </w:p>
    <w:p w14:paraId="390AA863" w14:textId="77777777" w:rsidR="00966162" w:rsidRPr="008A69B9" w:rsidRDefault="00966162" w:rsidP="008A69B9">
      <w:pPr>
        <w:spacing w:after="0" w:line="240" w:lineRule="auto"/>
        <w:rPr>
          <w:rFonts w:ascii="Arial" w:eastAsia="Times New Roman" w:hAnsi="Arial" w:cs="Arial"/>
          <w:b/>
          <w:bCs/>
          <w:color w:val="000000"/>
          <w:sz w:val="20"/>
          <w:szCs w:val="20"/>
          <w:lang w:eastAsia="en-GB"/>
        </w:rPr>
      </w:pPr>
    </w:p>
    <w:p w14:paraId="13C9D412" w14:textId="53CD3D8D" w:rsidR="00D64CCA" w:rsidRDefault="008A69B9" w:rsidP="00D64CCA">
      <w:pPr>
        <w:pStyle w:val="ListParagraph"/>
        <w:numPr>
          <w:ilvl w:val="0"/>
          <w:numId w:val="11"/>
        </w:num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Occupational Health revenue down </w:t>
      </w:r>
      <w:r w:rsidR="000438D7">
        <w:rPr>
          <w:rFonts w:ascii="Arial" w:eastAsia="Times New Roman" w:hAnsi="Arial" w:cs="Arial"/>
          <w:b/>
          <w:bCs/>
          <w:color w:val="000000"/>
          <w:sz w:val="20"/>
          <w:szCs w:val="20"/>
          <w:lang w:eastAsia="en-GB"/>
        </w:rPr>
        <w:t>4</w:t>
      </w:r>
      <w:r w:rsidR="00E23C07">
        <w:rPr>
          <w:rFonts w:ascii="Arial" w:eastAsia="Times New Roman" w:hAnsi="Arial" w:cs="Arial"/>
          <w:b/>
          <w:bCs/>
          <w:color w:val="000000"/>
          <w:sz w:val="20"/>
          <w:szCs w:val="20"/>
          <w:lang w:eastAsia="en-GB"/>
        </w:rPr>
        <w:t>% to £</w:t>
      </w:r>
      <w:r w:rsidR="00DB06B9">
        <w:rPr>
          <w:rFonts w:ascii="Arial" w:eastAsia="Times New Roman" w:hAnsi="Arial" w:cs="Arial"/>
          <w:b/>
          <w:bCs/>
          <w:color w:val="000000"/>
          <w:sz w:val="20"/>
          <w:szCs w:val="20"/>
          <w:lang w:eastAsia="en-GB"/>
        </w:rPr>
        <w:t>1</w:t>
      </w:r>
      <w:r w:rsidR="00796385">
        <w:rPr>
          <w:rFonts w:ascii="Arial" w:eastAsia="Times New Roman" w:hAnsi="Arial" w:cs="Arial"/>
          <w:b/>
          <w:bCs/>
          <w:color w:val="000000"/>
          <w:sz w:val="20"/>
          <w:szCs w:val="20"/>
          <w:lang w:eastAsia="en-GB"/>
        </w:rPr>
        <w:t>10.6</w:t>
      </w:r>
      <w:r w:rsidR="00E23C07">
        <w:rPr>
          <w:rFonts w:ascii="Arial" w:eastAsia="Times New Roman" w:hAnsi="Arial" w:cs="Arial"/>
          <w:b/>
          <w:bCs/>
          <w:color w:val="000000"/>
          <w:sz w:val="20"/>
          <w:szCs w:val="20"/>
          <w:lang w:eastAsia="en-GB"/>
        </w:rPr>
        <w:t xml:space="preserve"> million</w:t>
      </w:r>
    </w:p>
    <w:p w14:paraId="32D02D24" w14:textId="35ADB6B2" w:rsidR="008A69B9" w:rsidRDefault="008A69B9" w:rsidP="00C51267">
      <w:pPr>
        <w:pStyle w:val="ListParagraph"/>
        <w:numPr>
          <w:ilvl w:val="1"/>
          <w:numId w:val="1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Revenue </w:t>
      </w:r>
      <w:r w:rsidR="005926F2">
        <w:rPr>
          <w:rFonts w:ascii="Arial" w:eastAsia="Times New Roman" w:hAnsi="Arial" w:cs="Arial"/>
          <w:color w:val="000000"/>
          <w:sz w:val="20"/>
          <w:szCs w:val="20"/>
          <w:lang w:eastAsia="en-GB"/>
        </w:rPr>
        <w:t>reflects</w:t>
      </w:r>
      <w:r w:rsidR="00E80E8C">
        <w:rPr>
          <w:rFonts w:ascii="Arial" w:eastAsia="Times New Roman" w:hAnsi="Arial" w:cs="Arial"/>
          <w:color w:val="000000"/>
          <w:sz w:val="20"/>
          <w:szCs w:val="20"/>
          <w:lang w:eastAsia="en-GB"/>
        </w:rPr>
        <w:t xml:space="preserve"> short-term volume of </w:t>
      </w:r>
      <w:r>
        <w:rPr>
          <w:rFonts w:ascii="Arial" w:eastAsia="Times New Roman" w:hAnsi="Arial" w:cs="Arial"/>
          <w:color w:val="000000"/>
          <w:sz w:val="20"/>
          <w:szCs w:val="20"/>
          <w:lang w:eastAsia="en-GB"/>
        </w:rPr>
        <w:t xml:space="preserve">contract </w:t>
      </w:r>
      <w:r w:rsidR="001B079A">
        <w:rPr>
          <w:rFonts w:ascii="Arial" w:eastAsia="Times New Roman" w:hAnsi="Arial" w:cs="Arial"/>
          <w:color w:val="000000"/>
          <w:sz w:val="20"/>
          <w:szCs w:val="20"/>
          <w:lang w:eastAsia="en-GB"/>
        </w:rPr>
        <w:t>losses</w:t>
      </w:r>
    </w:p>
    <w:p w14:paraId="152E452C" w14:textId="64469A16" w:rsidR="00E23C07" w:rsidRDefault="008A69B9" w:rsidP="00C51267">
      <w:pPr>
        <w:pStyle w:val="ListParagraph"/>
        <w:numPr>
          <w:ilvl w:val="1"/>
          <w:numId w:val="1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Good performance across the rest of the division </w:t>
      </w:r>
    </w:p>
    <w:p w14:paraId="7BB7D1AC" w14:textId="397B92B9" w:rsidR="00B16A1C" w:rsidRDefault="00E23C07" w:rsidP="006305B4">
      <w:pPr>
        <w:pStyle w:val="ListParagraph"/>
        <w:numPr>
          <w:ilvl w:val="1"/>
          <w:numId w:val="11"/>
        </w:numPr>
        <w:spacing w:after="0" w:line="240" w:lineRule="auto"/>
        <w:rPr>
          <w:rFonts w:ascii="Arial" w:eastAsia="Times New Roman" w:hAnsi="Arial" w:cs="Arial"/>
          <w:color w:val="000000"/>
          <w:sz w:val="20"/>
          <w:szCs w:val="20"/>
          <w:lang w:eastAsia="en-GB"/>
        </w:rPr>
      </w:pPr>
      <w:r w:rsidRPr="00556B4E">
        <w:rPr>
          <w:rFonts w:ascii="Arial" w:eastAsia="Times New Roman" w:hAnsi="Arial" w:cs="Arial"/>
          <w:color w:val="000000"/>
          <w:sz w:val="20"/>
          <w:szCs w:val="20"/>
          <w:lang w:eastAsia="en-GB"/>
        </w:rPr>
        <w:t xml:space="preserve">The </w:t>
      </w:r>
      <w:r w:rsidR="008A69B9" w:rsidRPr="00556B4E">
        <w:rPr>
          <w:rFonts w:ascii="Arial" w:eastAsia="Times New Roman" w:hAnsi="Arial" w:cs="Arial"/>
          <w:color w:val="000000"/>
          <w:sz w:val="20"/>
          <w:szCs w:val="20"/>
          <w:lang w:eastAsia="en-GB"/>
        </w:rPr>
        <w:t xml:space="preserve">business </w:t>
      </w:r>
      <w:r w:rsidRPr="00556B4E">
        <w:rPr>
          <w:rFonts w:ascii="Arial" w:eastAsia="Times New Roman" w:hAnsi="Arial" w:cs="Arial"/>
          <w:color w:val="000000"/>
          <w:sz w:val="20"/>
          <w:szCs w:val="20"/>
          <w:lang w:eastAsia="en-GB"/>
        </w:rPr>
        <w:t xml:space="preserve">has </w:t>
      </w:r>
      <w:r w:rsidR="00E80E8C">
        <w:rPr>
          <w:rFonts w:ascii="Arial" w:eastAsia="Times New Roman" w:hAnsi="Arial" w:cs="Arial"/>
          <w:color w:val="000000"/>
          <w:sz w:val="20"/>
          <w:szCs w:val="20"/>
          <w:lang w:eastAsia="en-GB"/>
        </w:rPr>
        <w:t xml:space="preserve">since </w:t>
      </w:r>
      <w:r w:rsidRPr="00556B4E">
        <w:rPr>
          <w:rFonts w:ascii="Arial" w:eastAsia="Times New Roman" w:hAnsi="Arial" w:cs="Arial"/>
          <w:color w:val="000000"/>
          <w:sz w:val="20"/>
          <w:szCs w:val="20"/>
          <w:lang w:eastAsia="en-GB"/>
        </w:rPr>
        <w:t xml:space="preserve">secured </w:t>
      </w:r>
      <w:r w:rsidR="008A69B9" w:rsidRPr="00556B4E">
        <w:rPr>
          <w:rFonts w:ascii="Arial" w:eastAsia="Times New Roman" w:hAnsi="Arial" w:cs="Arial"/>
          <w:color w:val="000000"/>
          <w:sz w:val="20"/>
          <w:szCs w:val="20"/>
          <w:lang w:eastAsia="en-GB"/>
        </w:rPr>
        <w:t>£</w:t>
      </w:r>
      <w:r w:rsidR="00796385">
        <w:rPr>
          <w:rFonts w:ascii="Arial" w:eastAsia="Times New Roman" w:hAnsi="Arial" w:cs="Arial"/>
          <w:color w:val="000000"/>
          <w:sz w:val="20"/>
          <w:szCs w:val="20"/>
          <w:lang w:eastAsia="en-GB"/>
        </w:rPr>
        <w:t>13.8</w:t>
      </w:r>
      <w:r w:rsidR="008A69B9" w:rsidRPr="00556B4E">
        <w:rPr>
          <w:rFonts w:ascii="Arial" w:eastAsia="Times New Roman" w:hAnsi="Arial" w:cs="Arial"/>
          <w:color w:val="000000"/>
          <w:sz w:val="20"/>
          <w:szCs w:val="20"/>
          <w:lang w:eastAsia="en-GB"/>
        </w:rPr>
        <w:t xml:space="preserve"> million of new business </w:t>
      </w:r>
      <w:r w:rsidR="00796385">
        <w:rPr>
          <w:rFonts w:ascii="Arial" w:eastAsia="Times New Roman" w:hAnsi="Arial" w:cs="Arial"/>
          <w:color w:val="000000"/>
          <w:sz w:val="20"/>
          <w:szCs w:val="20"/>
          <w:lang w:eastAsia="en-GB"/>
        </w:rPr>
        <w:t>since the start of FY24</w:t>
      </w:r>
    </w:p>
    <w:p w14:paraId="25CE648A" w14:textId="77777777" w:rsidR="00AA6200" w:rsidRPr="00556B4E" w:rsidRDefault="00AA6200" w:rsidP="00AA6200">
      <w:pPr>
        <w:pStyle w:val="ListParagraph"/>
        <w:spacing w:after="0" w:line="240" w:lineRule="auto"/>
        <w:ind w:left="1440"/>
        <w:rPr>
          <w:rFonts w:ascii="Arial" w:eastAsia="Times New Roman" w:hAnsi="Arial" w:cs="Arial"/>
          <w:color w:val="000000"/>
          <w:sz w:val="20"/>
          <w:szCs w:val="20"/>
          <w:lang w:eastAsia="en-GB"/>
        </w:rPr>
      </w:pPr>
    </w:p>
    <w:p w14:paraId="6B1FD46B" w14:textId="11DC35BA" w:rsidR="00E23C07" w:rsidRDefault="00EB1761" w:rsidP="00EB1761">
      <w:pPr>
        <w:pStyle w:val="ListParagraph"/>
        <w:numPr>
          <w:ilvl w:val="0"/>
          <w:numId w:val="15"/>
        </w:numPr>
        <w:spacing w:after="0" w:line="240" w:lineRule="auto"/>
        <w:rPr>
          <w:rFonts w:ascii="Arial" w:eastAsia="Times New Roman" w:hAnsi="Arial" w:cs="Arial"/>
          <w:b/>
          <w:bCs/>
          <w:color w:val="000000"/>
          <w:sz w:val="20"/>
          <w:szCs w:val="20"/>
          <w:lang w:eastAsia="en-GB"/>
        </w:rPr>
      </w:pPr>
      <w:r w:rsidRPr="00EB1761">
        <w:rPr>
          <w:rFonts w:ascii="Arial" w:eastAsia="Times New Roman" w:hAnsi="Arial" w:cs="Arial"/>
          <w:b/>
          <w:bCs/>
          <w:color w:val="000000"/>
          <w:sz w:val="20"/>
          <w:szCs w:val="20"/>
          <w:lang w:eastAsia="en-GB"/>
        </w:rPr>
        <w:t xml:space="preserve">Adjusted EBITDA </w:t>
      </w:r>
      <w:r w:rsidR="00796385">
        <w:rPr>
          <w:rFonts w:ascii="Arial" w:eastAsia="Times New Roman" w:hAnsi="Arial" w:cs="Arial"/>
          <w:b/>
          <w:bCs/>
          <w:color w:val="000000"/>
          <w:sz w:val="20"/>
          <w:szCs w:val="20"/>
          <w:lang w:eastAsia="en-GB"/>
        </w:rPr>
        <w:t xml:space="preserve">from continuing operations </w:t>
      </w:r>
      <w:r w:rsidR="00A262D2">
        <w:rPr>
          <w:rFonts w:ascii="Arial" w:eastAsia="Times New Roman" w:hAnsi="Arial" w:cs="Arial"/>
          <w:b/>
          <w:bCs/>
          <w:color w:val="000000"/>
          <w:sz w:val="20"/>
          <w:szCs w:val="20"/>
          <w:lang w:eastAsia="en-GB"/>
        </w:rPr>
        <w:t>down 4</w:t>
      </w:r>
      <w:r w:rsidRPr="00EB1761">
        <w:rPr>
          <w:rFonts w:ascii="Arial" w:eastAsia="Times New Roman" w:hAnsi="Arial" w:cs="Arial"/>
          <w:b/>
          <w:bCs/>
          <w:color w:val="000000"/>
          <w:sz w:val="20"/>
          <w:szCs w:val="20"/>
          <w:lang w:eastAsia="en-GB"/>
        </w:rPr>
        <w:t>% to £</w:t>
      </w:r>
      <w:r w:rsidR="00A262D2">
        <w:rPr>
          <w:rFonts w:ascii="Arial" w:eastAsia="Times New Roman" w:hAnsi="Arial" w:cs="Arial"/>
          <w:b/>
          <w:bCs/>
          <w:color w:val="000000"/>
          <w:sz w:val="20"/>
          <w:szCs w:val="20"/>
          <w:lang w:eastAsia="en-GB"/>
        </w:rPr>
        <w:t>49.</w:t>
      </w:r>
      <w:r w:rsidR="006400BC">
        <w:rPr>
          <w:rFonts w:ascii="Arial" w:eastAsia="Times New Roman" w:hAnsi="Arial" w:cs="Arial"/>
          <w:b/>
          <w:bCs/>
          <w:color w:val="000000"/>
          <w:sz w:val="20"/>
          <w:szCs w:val="20"/>
          <w:lang w:eastAsia="en-GB"/>
        </w:rPr>
        <w:t>0</w:t>
      </w:r>
      <w:r w:rsidR="00A262D2">
        <w:rPr>
          <w:rFonts w:ascii="Arial" w:eastAsia="Times New Roman" w:hAnsi="Arial" w:cs="Arial"/>
          <w:b/>
          <w:bCs/>
          <w:color w:val="000000"/>
          <w:sz w:val="20"/>
          <w:szCs w:val="20"/>
          <w:lang w:eastAsia="en-GB"/>
        </w:rPr>
        <w:t xml:space="preserve"> </w:t>
      </w:r>
      <w:r w:rsidRPr="00EB1761">
        <w:rPr>
          <w:rFonts w:ascii="Arial" w:eastAsia="Times New Roman" w:hAnsi="Arial" w:cs="Arial"/>
          <w:b/>
          <w:bCs/>
          <w:color w:val="000000"/>
          <w:sz w:val="20"/>
          <w:szCs w:val="20"/>
          <w:lang w:eastAsia="en-GB"/>
        </w:rPr>
        <w:t>million</w:t>
      </w:r>
    </w:p>
    <w:p w14:paraId="4BB92EAF" w14:textId="0072DE76" w:rsidR="00D1639E" w:rsidRDefault="00D1639E" w:rsidP="00C51267">
      <w:pPr>
        <w:pStyle w:val="ListParagraph"/>
        <w:numPr>
          <w:ilvl w:val="1"/>
          <w:numId w:val="15"/>
        </w:numPr>
        <w:spacing w:after="0" w:line="240" w:lineRule="auto"/>
        <w:rPr>
          <w:rFonts w:ascii="Arial" w:eastAsia="Times New Roman" w:hAnsi="Arial" w:cs="Arial"/>
          <w:color w:val="000000"/>
          <w:sz w:val="20"/>
          <w:szCs w:val="20"/>
          <w:lang w:eastAsia="en-GB"/>
        </w:rPr>
      </w:pPr>
      <w:r w:rsidRPr="00D1639E">
        <w:rPr>
          <w:rFonts w:ascii="Arial" w:eastAsia="Times New Roman" w:hAnsi="Arial" w:cs="Arial"/>
          <w:color w:val="000000"/>
          <w:sz w:val="20"/>
          <w:szCs w:val="20"/>
          <w:lang w:eastAsia="en-GB"/>
        </w:rPr>
        <w:t>Adjusted EBITDA margins</w:t>
      </w:r>
      <w:r>
        <w:rPr>
          <w:rFonts w:ascii="Arial" w:eastAsia="Times New Roman" w:hAnsi="Arial" w:cs="Arial"/>
          <w:color w:val="000000"/>
          <w:sz w:val="20"/>
          <w:szCs w:val="20"/>
          <w:lang w:eastAsia="en-GB"/>
        </w:rPr>
        <w:t xml:space="preserve"> decreased 120bps to </w:t>
      </w:r>
      <w:r w:rsidRPr="00D1639E">
        <w:rPr>
          <w:rFonts w:ascii="Arial" w:eastAsia="Times New Roman" w:hAnsi="Arial" w:cs="Arial"/>
          <w:color w:val="000000"/>
          <w:sz w:val="20"/>
          <w:szCs w:val="20"/>
          <w:lang w:eastAsia="en-GB"/>
        </w:rPr>
        <w:t xml:space="preserve">12.2% </w:t>
      </w:r>
      <w:r>
        <w:rPr>
          <w:rFonts w:ascii="Arial" w:eastAsia="Times New Roman" w:hAnsi="Arial" w:cs="Arial"/>
          <w:color w:val="000000"/>
          <w:sz w:val="20"/>
          <w:szCs w:val="20"/>
          <w:lang w:eastAsia="en-GB"/>
        </w:rPr>
        <w:t xml:space="preserve">(FY23: 13.4%) </w:t>
      </w:r>
    </w:p>
    <w:p w14:paraId="42573053" w14:textId="4DDDA96A" w:rsidR="00A262D2" w:rsidRDefault="00A262D2" w:rsidP="00C51267">
      <w:pPr>
        <w:pStyle w:val="ListParagraph"/>
        <w:numPr>
          <w:ilvl w:val="1"/>
          <w:numId w:val="15"/>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Occupational Health EBITDA </w:t>
      </w:r>
      <w:r w:rsidR="005926F2">
        <w:rPr>
          <w:rFonts w:ascii="Arial" w:eastAsia="Times New Roman" w:hAnsi="Arial" w:cs="Arial"/>
          <w:color w:val="000000"/>
          <w:sz w:val="20"/>
          <w:szCs w:val="20"/>
          <w:lang w:eastAsia="en-GB"/>
        </w:rPr>
        <w:t xml:space="preserve">reflects </w:t>
      </w:r>
      <w:r>
        <w:rPr>
          <w:rFonts w:ascii="Arial" w:eastAsia="Times New Roman" w:hAnsi="Arial" w:cs="Arial"/>
          <w:color w:val="000000"/>
          <w:sz w:val="20"/>
          <w:szCs w:val="20"/>
          <w:lang w:eastAsia="en-GB"/>
        </w:rPr>
        <w:t xml:space="preserve">short-term volume impact of contract losses </w:t>
      </w:r>
    </w:p>
    <w:p w14:paraId="53B0B3F0" w14:textId="087C96AE" w:rsidR="00C722FA" w:rsidRDefault="00EB1761" w:rsidP="00C722FA">
      <w:pPr>
        <w:pStyle w:val="ListParagraph"/>
        <w:numPr>
          <w:ilvl w:val="1"/>
          <w:numId w:val="15"/>
        </w:numPr>
        <w:spacing w:after="0" w:line="240" w:lineRule="auto"/>
        <w:rPr>
          <w:rFonts w:ascii="Arial" w:eastAsia="Times New Roman" w:hAnsi="Arial" w:cs="Arial"/>
          <w:color w:val="000000"/>
          <w:sz w:val="20"/>
          <w:szCs w:val="20"/>
          <w:lang w:eastAsia="en-GB"/>
        </w:rPr>
      </w:pPr>
      <w:r w:rsidRPr="00EB1761">
        <w:rPr>
          <w:rFonts w:ascii="Arial" w:eastAsia="Times New Roman" w:hAnsi="Arial" w:cs="Arial"/>
          <w:color w:val="000000"/>
          <w:sz w:val="20"/>
          <w:szCs w:val="20"/>
          <w:lang w:eastAsia="en-GB"/>
        </w:rPr>
        <w:t xml:space="preserve">TIC </w:t>
      </w:r>
      <w:r>
        <w:rPr>
          <w:rFonts w:ascii="Arial" w:eastAsia="Times New Roman" w:hAnsi="Arial" w:cs="Arial"/>
          <w:color w:val="000000"/>
          <w:sz w:val="20"/>
          <w:szCs w:val="20"/>
          <w:lang w:eastAsia="en-GB"/>
        </w:rPr>
        <w:t xml:space="preserve">margins diluted </w:t>
      </w:r>
      <w:r w:rsidR="005926F2">
        <w:rPr>
          <w:rFonts w:ascii="Arial" w:eastAsia="Times New Roman" w:hAnsi="Arial" w:cs="Arial"/>
          <w:color w:val="000000"/>
          <w:sz w:val="20"/>
          <w:szCs w:val="20"/>
          <w:lang w:eastAsia="en-GB"/>
        </w:rPr>
        <w:t xml:space="preserve">by </w:t>
      </w:r>
      <w:r w:rsidR="005D0D3D">
        <w:rPr>
          <w:rFonts w:ascii="Arial" w:eastAsia="Times New Roman" w:hAnsi="Arial" w:cs="Arial"/>
          <w:color w:val="000000"/>
          <w:sz w:val="20"/>
          <w:szCs w:val="20"/>
          <w:lang w:eastAsia="en-GB"/>
        </w:rPr>
        <w:t xml:space="preserve">a short -term </w:t>
      </w:r>
      <w:r w:rsidR="00A262D2">
        <w:rPr>
          <w:rFonts w:ascii="Arial" w:eastAsia="Times New Roman" w:hAnsi="Arial" w:cs="Arial"/>
          <w:color w:val="000000"/>
          <w:sz w:val="20"/>
          <w:szCs w:val="20"/>
          <w:lang w:eastAsia="en-GB"/>
        </w:rPr>
        <w:t>increase</w:t>
      </w:r>
      <w:r w:rsidR="005926F2">
        <w:rPr>
          <w:rFonts w:ascii="Arial" w:eastAsia="Times New Roman" w:hAnsi="Arial" w:cs="Arial"/>
          <w:color w:val="000000"/>
          <w:sz w:val="20"/>
          <w:szCs w:val="20"/>
          <w:lang w:eastAsia="en-GB"/>
        </w:rPr>
        <w:t xml:space="preserve">d </w:t>
      </w:r>
      <w:r w:rsidR="00A262D2">
        <w:rPr>
          <w:rFonts w:ascii="Arial" w:eastAsia="Times New Roman" w:hAnsi="Arial" w:cs="Arial"/>
          <w:color w:val="000000"/>
          <w:sz w:val="20"/>
          <w:szCs w:val="20"/>
          <w:lang w:eastAsia="en-GB"/>
        </w:rPr>
        <w:t>use of subcontractors</w:t>
      </w:r>
      <w:r w:rsidR="00314451">
        <w:rPr>
          <w:rFonts w:ascii="Arial" w:eastAsia="Times New Roman" w:hAnsi="Arial" w:cs="Arial"/>
          <w:color w:val="000000"/>
          <w:sz w:val="20"/>
          <w:szCs w:val="20"/>
          <w:lang w:eastAsia="en-GB"/>
        </w:rPr>
        <w:t xml:space="preserve">, temporary changes in revenue mix and </w:t>
      </w:r>
      <w:r w:rsidR="00661DB7">
        <w:rPr>
          <w:rFonts w:ascii="Arial" w:eastAsia="Times New Roman" w:hAnsi="Arial" w:cs="Arial"/>
          <w:color w:val="000000"/>
          <w:sz w:val="20"/>
          <w:szCs w:val="20"/>
          <w:lang w:eastAsia="en-GB"/>
        </w:rPr>
        <w:t xml:space="preserve">a </w:t>
      </w:r>
      <w:r w:rsidR="00A72612">
        <w:rPr>
          <w:rFonts w:ascii="Arial" w:eastAsia="Times New Roman" w:hAnsi="Arial" w:cs="Arial"/>
          <w:color w:val="000000"/>
          <w:sz w:val="20"/>
          <w:szCs w:val="20"/>
          <w:lang w:eastAsia="en-GB"/>
        </w:rPr>
        <w:t>one-off</w:t>
      </w:r>
      <w:r w:rsidR="00314451">
        <w:rPr>
          <w:rFonts w:ascii="Arial" w:eastAsia="Times New Roman" w:hAnsi="Arial" w:cs="Arial"/>
          <w:color w:val="000000"/>
          <w:sz w:val="20"/>
          <w:szCs w:val="20"/>
          <w:lang w:eastAsia="en-GB"/>
        </w:rPr>
        <w:t xml:space="preserve"> accounting</w:t>
      </w:r>
      <w:r w:rsidR="00661DB7" w:rsidRPr="00661DB7">
        <w:rPr>
          <w:rFonts w:ascii="Arial" w:eastAsia="Times New Roman" w:hAnsi="Arial" w:cs="Arial"/>
          <w:color w:val="000000"/>
          <w:sz w:val="20"/>
          <w:szCs w:val="20"/>
          <w:lang w:eastAsia="en-GB"/>
        </w:rPr>
        <w:t xml:space="preserve"> adjustment following a review of the recoverability of certain current assets in our Water and Air </w:t>
      </w:r>
      <w:r w:rsidR="00986C74">
        <w:rPr>
          <w:rFonts w:ascii="Arial" w:eastAsia="Times New Roman" w:hAnsi="Arial" w:cs="Arial"/>
          <w:color w:val="000000"/>
          <w:sz w:val="20"/>
          <w:szCs w:val="20"/>
          <w:lang w:eastAsia="en-GB"/>
        </w:rPr>
        <w:t xml:space="preserve">Hygiene </w:t>
      </w:r>
      <w:r w:rsidR="00661DB7" w:rsidRPr="00661DB7">
        <w:rPr>
          <w:rFonts w:ascii="Arial" w:eastAsia="Times New Roman" w:hAnsi="Arial" w:cs="Arial"/>
          <w:color w:val="000000"/>
          <w:sz w:val="20"/>
          <w:szCs w:val="20"/>
          <w:lang w:eastAsia="en-GB"/>
        </w:rPr>
        <w:t>business</w:t>
      </w:r>
    </w:p>
    <w:p w14:paraId="4FC0083D" w14:textId="3ADDA530" w:rsidR="006400BC" w:rsidRPr="00863469" w:rsidRDefault="00167229" w:rsidP="00C722FA">
      <w:pPr>
        <w:pStyle w:val="ListParagraph"/>
        <w:numPr>
          <w:ilvl w:val="1"/>
          <w:numId w:val="15"/>
        </w:numPr>
        <w:spacing w:line="256" w:lineRule="auto"/>
        <w:jc w:val="both"/>
        <w:rPr>
          <w:rFonts w:ascii="Arial" w:eastAsia="Times New Roman" w:hAnsi="Arial" w:cs="Arial"/>
          <w:b/>
          <w:bCs/>
          <w:color w:val="000000"/>
          <w:sz w:val="20"/>
          <w:szCs w:val="20"/>
          <w:lang w:eastAsia="en-GB"/>
        </w:rPr>
      </w:pPr>
      <w:r>
        <w:rPr>
          <w:rFonts w:ascii="Arial" w:hAnsi="Arial" w:cs="Arial"/>
          <w:sz w:val="20"/>
          <w:szCs w:val="20"/>
        </w:rPr>
        <w:t>A</w:t>
      </w:r>
      <w:r w:rsidR="00C722FA" w:rsidRPr="00C722FA">
        <w:rPr>
          <w:rFonts w:ascii="Arial" w:hAnsi="Arial" w:cs="Arial"/>
          <w:sz w:val="20"/>
          <w:szCs w:val="20"/>
        </w:rPr>
        <w:t xml:space="preserve">djusted EBITDA margins </w:t>
      </w:r>
      <w:r>
        <w:rPr>
          <w:rFonts w:ascii="Arial" w:hAnsi="Arial" w:cs="Arial"/>
          <w:sz w:val="20"/>
          <w:szCs w:val="20"/>
        </w:rPr>
        <w:t xml:space="preserve">expected </w:t>
      </w:r>
      <w:r w:rsidR="00C722FA" w:rsidRPr="00C722FA">
        <w:rPr>
          <w:rFonts w:ascii="Arial" w:hAnsi="Arial" w:cs="Arial"/>
          <w:sz w:val="20"/>
          <w:szCs w:val="20"/>
        </w:rPr>
        <w:t>to continue to improve in both divisions and have a medium-term Group target of 15% as we focus on operational efficiencies and revenue mix</w:t>
      </w:r>
    </w:p>
    <w:p w14:paraId="44170EAB" w14:textId="77777777" w:rsidR="006400BC" w:rsidRPr="00863469" w:rsidRDefault="006400BC" w:rsidP="00863469">
      <w:pPr>
        <w:pStyle w:val="ListParagraph"/>
        <w:spacing w:line="256" w:lineRule="auto"/>
        <w:ind w:left="1440"/>
        <w:jc w:val="both"/>
        <w:rPr>
          <w:rFonts w:ascii="Arial" w:eastAsia="Times New Roman" w:hAnsi="Arial" w:cs="Arial"/>
          <w:b/>
          <w:bCs/>
          <w:color w:val="000000"/>
          <w:sz w:val="20"/>
          <w:szCs w:val="20"/>
          <w:lang w:eastAsia="en-GB"/>
        </w:rPr>
      </w:pPr>
    </w:p>
    <w:p w14:paraId="56621240" w14:textId="2C9E4212" w:rsidR="006400BC" w:rsidRPr="00334948" w:rsidRDefault="006400BC" w:rsidP="006400BC">
      <w:pPr>
        <w:pStyle w:val="ListParagraph"/>
        <w:numPr>
          <w:ilvl w:val="0"/>
          <w:numId w:val="45"/>
        </w:numPr>
        <w:spacing w:after="0" w:line="253" w:lineRule="atLeast"/>
        <w:rPr>
          <w:rFonts w:ascii="Arial" w:eastAsia="Times New Roman" w:hAnsi="Arial" w:cs="Arial"/>
          <w:b/>
          <w:bCs/>
          <w:color w:val="000000"/>
          <w:sz w:val="20"/>
          <w:szCs w:val="20"/>
          <w:lang w:eastAsia="en-GB"/>
        </w:rPr>
      </w:pPr>
      <w:r w:rsidRPr="00334948">
        <w:rPr>
          <w:b/>
          <w:bCs/>
          <w:lang w:eastAsia="en-GB"/>
        </w:rPr>
        <w:t xml:space="preserve">Statutory operating loss </w:t>
      </w:r>
      <w:r w:rsidR="00796385">
        <w:rPr>
          <w:b/>
          <w:bCs/>
          <w:lang w:eastAsia="en-GB"/>
        </w:rPr>
        <w:t xml:space="preserve">from continuing operations </w:t>
      </w:r>
      <w:r>
        <w:rPr>
          <w:b/>
          <w:bCs/>
          <w:lang w:eastAsia="en-GB"/>
        </w:rPr>
        <w:t>£5.0</w:t>
      </w:r>
      <w:r w:rsidRPr="00334948">
        <w:rPr>
          <w:b/>
          <w:bCs/>
          <w:lang w:eastAsia="en-GB"/>
        </w:rPr>
        <w:t xml:space="preserve"> million</w:t>
      </w:r>
    </w:p>
    <w:p w14:paraId="3247ACEF" w14:textId="493C3995" w:rsidR="00C722FA" w:rsidRPr="00863469" w:rsidRDefault="006400BC" w:rsidP="00863469">
      <w:pPr>
        <w:pStyle w:val="ListParagraph"/>
        <w:numPr>
          <w:ilvl w:val="1"/>
          <w:numId w:val="15"/>
        </w:numPr>
        <w:spacing w:line="256" w:lineRule="auto"/>
        <w:rPr>
          <w:rFonts w:ascii="Arial" w:eastAsia="Times New Roman" w:hAnsi="Arial" w:cs="Arial"/>
          <w:color w:val="000000"/>
          <w:sz w:val="20"/>
          <w:szCs w:val="20"/>
          <w:lang w:eastAsia="en-GB"/>
        </w:rPr>
      </w:pPr>
      <w:r w:rsidRPr="00130960">
        <w:rPr>
          <w:rFonts w:ascii="Arial" w:eastAsia="Times New Roman" w:hAnsi="Arial" w:cs="Arial"/>
          <w:color w:val="000000"/>
          <w:sz w:val="20"/>
          <w:szCs w:val="20"/>
          <w:lang w:eastAsia="en-GB"/>
        </w:rPr>
        <w:t>Loss</w:t>
      </w:r>
      <w:r w:rsidR="00D1639E">
        <w:rPr>
          <w:rFonts w:ascii="Arial" w:eastAsia="Times New Roman" w:hAnsi="Arial" w:cs="Arial"/>
          <w:color w:val="000000"/>
          <w:sz w:val="20"/>
          <w:szCs w:val="20"/>
          <w:lang w:eastAsia="en-GB"/>
        </w:rPr>
        <w:t xml:space="preserve"> primarily </w:t>
      </w:r>
      <w:proofErr w:type="gramStart"/>
      <w:r w:rsidR="00D1639E">
        <w:rPr>
          <w:rFonts w:ascii="Arial" w:eastAsia="Times New Roman" w:hAnsi="Arial" w:cs="Arial"/>
          <w:color w:val="000000"/>
          <w:sz w:val="20"/>
          <w:szCs w:val="20"/>
          <w:lang w:eastAsia="en-GB"/>
        </w:rPr>
        <w:t>as a result of</w:t>
      </w:r>
      <w:proofErr w:type="gramEnd"/>
      <w:r w:rsidR="00D1639E">
        <w:rPr>
          <w:rFonts w:ascii="Arial" w:eastAsia="Times New Roman" w:hAnsi="Arial" w:cs="Arial"/>
          <w:color w:val="000000"/>
          <w:sz w:val="20"/>
          <w:szCs w:val="20"/>
          <w:lang w:eastAsia="en-GB"/>
        </w:rPr>
        <w:t xml:space="preserve"> the short-term </w:t>
      </w:r>
      <w:r w:rsidR="00067F2F">
        <w:rPr>
          <w:rFonts w:ascii="Arial" w:eastAsia="Times New Roman" w:hAnsi="Arial" w:cs="Arial"/>
          <w:color w:val="000000"/>
          <w:sz w:val="20"/>
          <w:szCs w:val="20"/>
          <w:lang w:eastAsia="en-GB"/>
        </w:rPr>
        <w:t xml:space="preserve">revenue reduction and </w:t>
      </w:r>
      <w:r w:rsidR="00D1639E">
        <w:rPr>
          <w:rFonts w:ascii="Arial" w:eastAsia="Times New Roman" w:hAnsi="Arial" w:cs="Arial"/>
          <w:color w:val="000000"/>
          <w:sz w:val="20"/>
          <w:szCs w:val="20"/>
          <w:lang w:eastAsia="en-GB"/>
        </w:rPr>
        <w:t xml:space="preserve">margin dilution impact in Occupational Health, an increase in </w:t>
      </w:r>
      <w:r w:rsidRPr="00130960">
        <w:rPr>
          <w:rFonts w:ascii="Arial" w:eastAsia="Times New Roman" w:hAnsi="Arial" w:cs="Arial"/>
          <w:color w:val="000000"/>
          <w:sz w:val="20"/>
          <w:szCs w:val="20"/>
          <w:lang w:eastAsia="en-GB"/>
        </w:rPr>
        <w:t xml:space="preserve">acquisition </w:t>
      </w:r>
      <w:r>
        <w:rPr>
          <w:rFonts w:ascii="Arial" w:eastAsia="Times New Roman" w:hAnsi="Arial" w:cs="Arial"/>
          <w:color w:val="000000"/>
          <w:sz w:val="20"/>
          <w:szCs w:val="20"/>
          <w:lang w:eastAsia="en-GB"/>
        </w:rPr>
        <w:t xml:space="preserve">and disposal </w:t>
      </w:r>
      <w:r w:rsidRPr="00130960">
        <w:rPr>
          <w:rFonts w:ascii="Arial" w:eastAsia="Times New Roman" w:hAnsi="Arial" w:cs="Arial"/>
          <w:color w:val="000000"/>
          <w:sz w:val="20"/>
          <w:szCs w:val="20"/>
          <w:lang w:eastAsia="en-GB"/>
        </w:rPr>
        <w:t>costs (including strategic review costs</w:t>
      </w:r>
      <w:r>
        <w:rPr>
          <w:rFonts w:ascii="Arial" w:eastAsia="Times New Roman" w:hAnsi="Arial" w:cs="Arial"/>
          <w:color w:val="000000"/>
          <w:sz w:val="20"/>
          <w:szCs w:val="20"/>
          <w:lang w:eastAsia="en-GB"/>
        </w:rPr>
        <w:t xml:space="preserve">) </w:t>
      </w:r>
      <w:r w:rsidRPr="00130960">
        <w:rPr>
          <w:rFonts w:ascii="Arial" w:eastAsia="Times New Roman" w:hAnsi="Arial" w:cs="Arial"/>
          <w:color w:val="000000"/>
          <w:sz w:val="20"/>
          <w:szCs w:val="20"/>
          <w:lang w:eastAsia="en-GB"/>
        </w:rPr>
        <w:t>and restructuring adjusting items amounting to £</w:t>
      </w:r>
      <w:r>
        <w:rPr>
          <w:rFonts w:ascii="Arial" w:eastAsia="Times New Roman" w:hAnsi="Arial" w:cs="Arial"/>
          <w:color w:val="000000"/>
          <w:sz w:val="20"/>
          <w:szCs w:val="20"/>
          <w:lang w:eastAsia="en-GB"/>
        </w:rPr>
        <w:t>19.7</w:t>
      </w:r>
      <w:r w:rsidRPr="00130960">
        <w:rPr>
          <w:rFonts w:ascii="Arial" w:eastAsia="Times New Roman" w:hAnsi="Arial" w:cs="Arial"/>
          <w:color w:val="000000"/>
          <w:sz w:val="20"/>
          <w:szCs w:val="20"/>
          <w:lang w:eastAsia="en-GB"/>
        </w:rPr>
        <w:t xml:space="preserve"> million (FY23: £</w:t>
      </w:r>
      <w:r>
        <w:rPr>
          <w:rFonts w:ascii="Arial" w:eastAsia="Times New Roman" w:hAnsi="Arial" w:cs="Arial"/>
          <w:color w:val="000000"/>
          <w:sz w:val="20"/>
          <w:szCs w:val="20"/>
          <w:lang w:eastAsia="en-GB"/>
        </w:rPr>
        <w:t>16.6</w:t>
      </w:r>
      <w:r w:rsidRPr="00130960">
        <w:rPr>
          <w:rFonts w:ascii="Arial" w:eastAsia="Times New Roman" w:hAnsi="Arial" w:cs="Arial"/>
          <w:color w:val="000000"/>
          <w:sz w:val="20"/>
          <w:szCs w:val="20"/>
          <w:lang w:eastAsia="en-GB"/>
        </w:rPr>
        <w:t xml:space="preserve"> million)</w:t>
      </w:r>
      <w:r w:rsidR="00C722FA" w:rsidRPr="00863469">
        <w:rPr>
          <w:rFonts w:ascii="Arial" w:hAnsi="Arial" w:cs="Arial"/>
          <w:sz w:val="20"/>
          <w:szCs w:val="20"/>
        </w:rPr>
        <w:t xml:space="preserve"> </w:t>
      </w:r>
    </w:p>
    <w:p w14:paraId="6A153C6D" w14:textId="77777777" w:rsidR="00130960" w:rsidRDefault="00130960" w:rsidP="00C64BC9">
      <w:pPr>
        <w:pStyle w:val="ListParagraph"/>
        <w:spacing w:line="256" w:lineRule="auto"/>
        <w:ind w:left="1440"/>
        <w:rPr>
          <w:rFonts w:ascii="Arial" w:eastAsia="Times New Roman" w:hAnsi="Arial" w:cs="Arial"/>
          <w:color w:val="000000"/>
          <w:sz w:val="20"/>
          <w:szCs w:val="20"/>
          <w:lang w:eastAsia="en-GB"/>
        </w:rPr>
      </w:pPr>
    </w:p>
    <w:p w14:paraId="1C74CF37" w14:textId="6416E353" w:rsidR="00130960" w:rsidRPr="00C64BC9" w:rsidRDefault="00130960" w:rsidP="00C64BC9">
      <w:pPr>
        <w:pStyle w:val="ListParagraph"/>
        <w:numPr>
          <w:ilvl w:val="0"/>
          <w:numId w:val="15"/>
        </w:numPr>
        <w:spacing w:line="256" w:lineRule="auto"/>
        <w:rPr>
          <w:rFonts w:ascii="Arial" w:eastAsia="Times New Roman" w:hAnsi="Arial" w:cs="Arial"/>
          <w:color w:val="000000"/>
          <w:sz w:val="20"/>
          <w:szCs w:val="20"/>
          <w:lang w:eastAsia="en-GB"/>
        </w:rPr>
      </w:pPr>
      <w:r w:rsidRPr="00130960">
        <w:rPr>
          <w:rFonts w:ascii="Arial" w:eastAsia="Times New Roman" w:hAnsi="Arial" w:cs="Arial"/>
          <w:b/>
          <w:bCs/>
          <w:color w:val="000000"/>
          <w:sz w:val="20"/>
          <w:szCs w:val="20"/>
          <w:lang w:eastAsia="en-GB"/>
        </w:rPr>
        <w:t>Succe</w:t>
      </w:r>
      <w:r>
        <w:rPr>
          <w:rFonts w:ascii="Arial" w:eastAsia="Times New Roman" w:hAnsi="Arial" w:cs="Arial"/>
          <w:b/>
          <w:bCs/>
          <w:color w:val="000000"/>
          <w:sz w:val="20"/>
          <w:szCs w:val="20"/>
          <w:lang w:eastAsia="en-GB"/>
        </w:rPr>
        <w:t>s</w:t>
      </w:r>
      <w:r w:rsidRPr="00130960">
        <w:rPr>
          <w:rFonts w:ascii="Arial" w:eastAsia="Times New Roman" w:hAnsi="Arial" w:cs="Arial"/>
          <w:b/>
          <w:bCs/>
          <w:color w:val="000000"/>
          <w:sz w:val="20"/>
          <w:szCs w:val="20"/>
          <w:lang w:eastAsia="en-GB"/>
        </w:rPr>
        <w:t>sful execution of integration programme</w:t>
      </w:r>
      <w:r w:rsidR="00167229" w:rsidRPr="00167229">
        <w:rPr>
          <w:rFonts w:ascii="Arial" w:eastAsia="Times New Roman" w:hAnsi="Arial" w:cs="Arial"/>
          <w:b/>
          <w:bCs/>
          <w:color w:val="000000"/>
          <w:sz w:val="20"/>
          <w:szCs w:val="20"/>
          <w:lang w:eastAsia="en-GB"/>
        </w:rPr>
        <w:t xml:space="preserve"> </w:t>
      </w:r>
      <w:r w:rsidR="00167229">
        <w:rPr>
          <w:rFonts w:ascii="Arial" w:eastAsia="Times New Roman" w:hAnsi="Arial" w:cs="Arial"/>
          <w:b/>
          <w:bCs/>
          <w:color w:val="000000"/>
          <w:sz w:val="20"/>
          <w:szCs w:val="20"/>
          <w:lang w:eastAsia="en-GB"/>
        </w:rPr>
        <w:t xml:space="preserve">and </w:t>
      </w:r>
      <w:r w:rsidR="00167229" w:rsidRPr="00130960">
        <w:rPr>
          <w:rFonts w:ascii="Arial" w:eastAsia="Times New Roman" w:hAnsi="Arial" w:cs="Arial"/>
          <w:b/>
          <w:bCs/>
          <w:color w:val="000000"/>
          <w:sz w:val="20"/>
          <w:szCs w:val="20"/>
          <w:lang w:eastAsia="en-GB"/>
        </w:rPr>
        <w:t>M&amp;A</w:t>
      </w:r>
    </w:p>
    <w:p w14:paraId="317330B0" w14:textId="7C9583E4" w:rsidR="00C20507" w:rsidRPr="00C20507" w:rsidRDefault="005408FE" w:rsidP="00C20507">
      <w:pPr>
        <w:pStyle w:val="ListParagraph"/>
        <w:numPr>
          <w:ilvl w:val="1"/>
          <w:numId w:val="16"/>
        </w:numPr>
        <w:spacing w:after="0" w:line="240" w:lineRule="auto"/>
        <w:jc w:val="both"/>
        <w:rPr>
          <w:rFonts w:ascii="Arial" w:eastAsia="Times New Roman" w:hAnsi="Arial" w:cs="Arial"/>
          <w:b/>
          <w:bCs/>
          <w:i/>
          <w:iCs/>
          <w:color w:val="000000"/>
          <w:sz w:val="20"/>
          <w:szCs w:val="20"/>
          <w:lang w:eastAsia="en-GB"/>
        </w:rPr>
      </w:pPr>
      <w:r w:rsidRPr="00C51267">
        <w:rPr>
          <w:rFonts w:ascii="Arial" w:eastAsia="Times New Roman" w:hAnsi="Arial" w:cs="Arial"/>
          <w:color w:val="000000"/>
          <w:sz w:val="20"/>
          <w:szCs w:val="20"/>
          <w:lang w:eastAsia="en-GB"/>
        </w:rPr>
        <w:t>£</w:t>
      </w:r>
      <w:r w:rsidR="002E5873">
        <w:rPr>
          <w:rFonts w:ascii="Arial" w:eastAsia="Times New Roman" w:hAnsi="Arial" w:cs="Arial"/>
          <w:color w:val="000000"/>
          <w:sz w:val="20"/>
          <w:szCs w:val="20"/>
          <w:lang w:eastAsia="en-GB"/>
        </w:rPr>
        <w:t>1</w:t>
      </w:r>
      <w:r w:rsidR="009A70F6">
        <w:rPr>
          <w:rFonts w:ascii="Arial" w:eastAsia="Times New Roman" w:hAnsi="Arial" w:cs="Arial"/>
          <w:color w:val="000000"/>
          <w:sz w:val="20"/>
          <w:szCs w:val="20"/>
          <w:lang w:eastAsia="en-GB"/>
        </w:rPr>
        <w:t>6</w:t>
      </w:r>
      <w:r w:rsidR="00C51267" w:rsidRPr="00C51267">
        <w:rPr>
          <w:rFonts w:ascii="Arial" w:eastAsia="Times New Roman" w:hAnsi="Arial" w:cs="Arial"/>
          <w:color w:val="000000"/>
          <w:sz w:val="20"/>
          <w:szCs w:val="20"/>
          <w:lang w:eastAsia="en-GB"/>
        </w:rPr>
        <w:t xml:space="preserve"> </w:t>
      </w:r>
      <w:r w:rsidRPr="00C51267">
        <w:rPr>
          <w:rFonts w:ascii="Arial" w:eastAsia="Times New Roman" w:hAnsi="Arial" w:cs="Arial"/>
          <w:color w:val="000000"/>
          <w:sz w:val="20"/>
          <w:szCs w:val="20"/>
          <w:lang w:eastAsia="en-GB"/>
        </w:rPr>
        <w:t>m</w:t>
      </w:r>
      <w:r w:rsidR="003D21CA" w:rsidRPr="00C51267">
        <w:rPr>
          <w:rFonts w:ascii="Arial" w:eastAsia="Times New Roman" w:hAnsi="Arial" w:cs="Arial"/>
          <w:color w:val="000000"/>
          <w:sz w:val="20"/>
          <w:szCs w:val="20"/>
          <w:lang w:eastAsia="en-GB"/>
        </w:rPr>
        <w:t>illion</w:t>
      </w:r>
      <w:r w:rsidRPr="00C51267">
        <w:rPr>
          <w:rFonts w:ascii="Arial" w:eastAsia="Times New Roman" w:hAnsi="Arial" w:cs="Arial"/>
          <w:color w:val="000000"/>
          <w:sz w:val="20"/>
          <w:szCs w:val="20"/>
          <w:lang w:eastAsia="en-GB"/>
        </w:rPr>
        <w:t xml:space="preserve"> </w:t>
      </w:r>
      <w:r w:rsidR="006D607E" w:rsidRPr="00C51267">
        <w:rPr>
          <w:rFonts w:ascii="Arial" w:eastAsia="Times New Roman" w:hAnsi="Arial" w:cs="Arial"/>
          <w:color w:val="000000"/>
          <w:sz w:val="20"/>
          <w:szCs w:val="20"/>
          <w:lang w:eastAsia="en-GB"/>
        </w:rPr>
        <w:t xml:space="preserve">of </w:t>
      </w:r>
      <w:r w:rsidRPr="00C51267">
        <w:rPr>
          <w:rFonts w:ascii="Arial" w:eastAsia="Times New Roman" w:hAnsi="Arial" w:cs="Arial"/>
          <w:color w:val="000000"/>
          <w:sz w:val="20"/>
          <w:szCs w:val="20"/>
          <w:lang w:eastAsia="en-GB"/>
        </w:rPr>
        <w:t xml:space="preserve">capital </w:t>
      </w:r>
      <w:r w:rsidR="00C20720" w:rsidRPr="00C51267">
        <w:rPr>
          <w:rFonts w:ascii="Arial" w:eastAsia="Times New Roman" w:hAnsi="Arial" w:cs="Arial"/>
          <w:color w:val="000000"/>
          <w:sz w:val="20"/>
          <w:szCs w:val="20"/>
          <w:lang w:eastAsia="en-GB"/>
        </w:rPr>
        <w:t>invested</w:t>
      </w:r>
      <w:r w:rsidR="00305634" w:rsidRPr="0077073D">
        <w:rPr>
          <w:rStyle w:val="FootnoteReference"/>
          <w:rFonts w:ascii="Arial" w:eastAsia="Times New Roman" w:hAnsi="Arial" w:cs="Arial"/>
          <w:color w:val="000000"/>
          <w:sz w:val="20"/>
          <w:szCs w:val="20"/>
          <w:lang w:eastAsia="en-GB"/>
        </w:rPr>
        <w:footnoteReference w:id="4"/>
      </w:r>
      <w:r w:rsidR="00305634" w:rsidRPr="00C51267">
        <w:rPr>
          <w:rFonts w:ascii="Arial" w:eastAsia="Times New Roman" w:hAnsi="Arial" w:cs="Arial"/>
          <w:color w:val="000000"/>
          <w:sz w:val="20"/>
          <w:szCs w:val="20"/>
          <w:lang w:eastAsia="en-GB"/>
        </w:rPr>
        <w:t xml:space="preserve"> </w:t>
      </w:r>
      <w:r w:rsidR="000C2895" w:rsidRPr="00C51267">
        <w:rPr>
          <w:rFonts w:ascii="Arial" w:eastAsia="Times New Roman" w:hAnsi="Arial" w:cs="Arial"/>
          <w:color w:val="000000"/>
          <w:sz w:val="20"/>
          <w:szCs w:val="20"/>
          <w:lang w:eastAsia="en-GB"/>
        </w:rPr>
        <w:t>during FY2</w:t>
      </w:r>
      <w:r w:rsidR="00C51267" w:rsidRPr="00C51267">
        <w:rPr>
          <w:rFonts w:ascii="Arial" w:eastAsia="Times New Roman" w:hAnsi="Arial" w:cs="Arial"/>
          <w:color w:val="000000"/>
          <w:sz w:val="20"/>
          <w:szCs w:val="20"/>
          <w:lang w:eastAsia="en-GB"/>
        </w:rPr>
        <w:t xml:space="preserve">4 </w:t>
      </w:r>
      <w:r w:rsidR="000C2895" w:rsidRPr="00C51267">
        <w:rPr>
          <w:rFonts w:ascii="Arial" w:eastAsia="Times New Roman" w:hAnsi="Arial" w:cs="Arial"/>
          <w:color w:val="000000"/>
          <w:sz w:val="20"/>
          <w:szCs w:val="20"/>
          <w:lang w:eastAsia="en-GB"/>
        </w:rPr>
        <w:t>across</w:t>
      </w:r>
      <w:r w:rsidR="007C1B91" w:rsidRPr="00C51267">
        <w:rPr>
          <w:rFonts w:ascii="Arial" w:eastAsia="Times New Roman" w:hAnsi="Arial" w:cs="Arial"/>
          <w:color w:val="000000"/>
          <w:sz w:val="20"/>
          <w:szCs w:val="20"/>
          <w:lang w:eastAsia="en-GB"/>
        </w:rPr>
        <w:t xml:space="preserve"> </w:t>
      </w:r>
      <w:r w:rsidR="00C51267" w:rsidRPr="00C51267">
        <w:rPr>
          <w:rFonts w:ascii="Arial" w:eastAsia="Times New Roman" w:hAnsi="Arial" w:cs="Arial"/>
          <w:color w:val="000000"/>
          <w:sz w:val="20"/>
          <w:szCs w:val="20"/>
          <w:lang w:eastAsia="en-GB"/>
        </w:rPr>
        <w:t>four</w:t>
      </w:r>
      <w:r w:rsidR="00FB4EB6" w:rsidRPr="00C51267">
        <w:rPr>
          <w:rFonts w:ascii="Arial" w:eastAsia="Times New Roman" w:hAnsi="Arial" w:cs="Arial"/>
          <w:color w:val="000000"/>
          <w:sz w:val="20"/>
          <w:szCs w:val="20"/>
          <w:lang w:eastAsia="en-GB"/>
        </w:rPr>
        <w:t xml:space="preserve"> </w:t>
      </w:r>
      <w:r w:rsidR="007C1B91" w:rsidRPr="00C51267">
        <w:rPr>
          <w:rFonts w:ascii="Arial" w:eastAsia="Times New Roman" w:hAnsi="Arial" w:cs="Arial"/>
          <w:color w:val="000000"/>
          <w:sz w:val="20"/>
          <w:szCs w:val="20"/>
          <w:lang w:eastAsia="en-GB"/>
        </w:rPr>
        <w:t>bolt-on acquisitions</w:t>
      </w:r>
      <w:r w:rsidR="00167229">
        <w:rPr>
          <w:rFonts w:ascii="Arial" w:eastAsia="Times New Roman" w:hAnsi="Arial" w:cs="Arial"/>
          <w:color w:val="000000"/>
          <w:sz w:val="20"/>
          <w:szCs w:val="20"/>
          <w:lang w:eastAsia="en-GB"/>
        </w:rPr>
        <w:t xml:space="preserve"> in Fire Safety &amp; Security</w:t>
      </w:r>
    </w:p>
    <w:p w14:paraId="415E2A0D" w14:textId="2679E2E5" w:rsidR="00513EFE" w:rsidRPr="00863469" w:rsidRDefault="00C20507" w:rsidP="00863469">
      <w:pPr>
        <w:pStyle w:val="ListParagraph"/>
        <w:numPr>
          <w:ilvl w:val="1"/>
          <w:numId w:val="16"/>
        </w:numPr>
        <w:spacing w:before="100" w:beforeAutospacing="1" w:after="100" w:afterAutospacing="1" w:line="240" w:lineRule="auto"/>
        <w:jc w:val="both"/>
        <w:rPr>
          <w:rFonts w:ascii="Arial" w:eastAsia="Times New Roman" w:hAnsi="Arial" w:cs="Arial"/>
          <w:b/>
          <w:bCs/>
          <w:color w:val="000000"/>
          <w:sz w:val="20"/>
          <w:szCs w:val="20"/>
          <w:lang w:eastAsia="en-GB"/>
        </w:rPr>
      </w:pPr>
      <w:r w:rsidRPr="00513EFE">
        <w:rPr>
          <w:rFonts w:ascii="Arial" w:hAnsi="Arial" w:cs="Arial"/>
          <w:color w:val="000000"/>
          <w:sz w:val="20"/>
          <w:szCs w:val="20"/>
        </w:rPr>
        <w:t xml:space="preserve">Strong progress </w:t>
      </w:r>
      <w:r w:rsidR="005926F2">
        <w:rPr>
          <w:rFonts w:ascii="Arial" w:hAnsi="Arial" w:cs="Arial"/>
          <w:color w:val="000000"/>
          <w:sz w:val="20"/>
          <w:szCs w:val="20"/>
        </w:rPr>
        <w:t xml:space="preserve">on </w:t>
      </w:r>
      <w:r w:rsidRPr="00513EFE">
        <w:rPr>
          <w:rFonts w:ascii="Arial" w:hAnsi="Arial" w:cs="Arial"/>
          <w:color w:val="000000"/>
          <w:sz w:val="20"/>
          <w:szCs w:val="20"/>
        </w:rPr>
        <w:t>integration programmes</w:t>
      </w:r>
      <w:r w:rsidR="005926F2">
        <w:rPr>
          <w:rFonts w:ascii="Arial" w:hAnsi="Arial" w:cs="Arial"/>
          <w:color w:val="000000"/>
          <w:sz w:val="20"/>
          <w:szCs w:val="20"/>
        </w:rPr>
        <w:t xml:space="preserve">, with </w:t>
      </w:r>
      <w:r w:rsidRPr="00513EFE">
        <w:rPr>
          <w:rFonts w:ascii="Arial" w:hAnsi="Arial" w:cs="Arial"/>
          <w:sz w:val="20"/>
          <w:szCs w:val="20"/>
        </w:rPr>
        <w:t xml:space="preserve">all </w:t>
      </w:r>
      <w:r w:rsidR="00513EFE" w:rsidRPr="00513EFE">
        <w:rPr>
          <w:rFonts w:ascii="Arial" w:hAnsi="Arial" w:cs="Arial"/>
          <w:sz w:val="20"/>
          <w:szCs w:val="20"/>
        </w:rPr>
        <w:t xml:space="preserve">costs </w:t>
      </w:r>
      <w:r w:rsidRPr="00513EFE">
        <w:rPr>
          <w:rFonts w:ascii="Arial" w:hAnsi="Arial" w:cs="Arial"/>
          <w:sz w:val="20"/>
          <w:szCs w:val="20"/>
        </w:rPr>
        <w:t xml:space="preserve">associated </w:t>
      </w:r>
      <w:r w:rsidR="00513EFE" w:rsidRPr="00513EFE">
        <w:rPr>
          <w:rFonts w:ascii="Arial" w:hAnsi="Arial" w:cs="Arial"/>
          <w:sz w:val="20"/>
          <w:szCs w:val="20"/>
        </w:rPr>
        <w:t xml:space="preserve">with </w:t>
      </w:r>
      <w:r w:rsidRPr="00513EFE">
        <w:rPr>
          <w:rFonts w:ascii="Arial" w:hAnsi="Arial" w:cs="Arial"/>
          <w:sz w:val="20"/>
          <w:szCs w:val="20"/>
        </w:rPr>
        <w:t xml:space="preserve">restructuring investments </w:t>
      </w:r>
      <w:r w:rsidR="003A6BBD">
        <w:rPr>
          <w:rFonts w:ascii="Arial" w:hAnsi="Arial" w:cs="Arial"/>
          <w:sz w:val="20"/>
          <w:szCs w:val="20"/>
        </w:rPr>
        <w:t xml:space="preserve">expected to conclude by </w:t>
      </w:r>
      <w:r w:rsidRPr="00513EFE">
        <w:rPr>
          <w:rFonts w:ascii="Arial" w:hAnsi="Arial" w:cs="Arial"/>
          <w:sz w:val="20"/>
          <w:szCs w:val="20"/>
        </w:rPr>
        <w:t>30 September 2024</w:t>
      </w:r>
      <w:r w:rsidR="00314451">
        <w:rPr>
          <w:rFonts w:ascii="Arial" w:hAnsi="Arial" w:cs="Arial"/>
          <w:sz w:val="20"/>
          <w:szCs w:val="20"/>
        </w:rPr>
        <w:t xml:space="preserve">, in line with </w:t>
      </w:r>
      <w:r w:rsidR="00BE3C1F">
        <w:rPr>
          <w:rFonts w:ascii="Arial" w:hAnsi="Arial" w:cs="Arial"/>
          <w:sz w:val="20"/>
          <w:szCs w:val="20"/>
        </w:rPr>
        <w:t>market expectation</w:t>
      </w:r>
    </w:p>
    <w:p w14:paraId="48781E5D" w14:textId="17C02528" w:rsidR="005408FE" w:rsidRPr="000A1B15" w:rsidRDefault="005408FE" w:rsidP="005408FE">
      <w:pPr>
        <w:spacing w:before="100" w:beforeAutospacing="1" w:after="100" w:afterAutospacing="1" w:line="240" w:lineRule="auto"/>
        <w:jc w:val="both"/>
        <w:rPr>
          <w:rFonts w:ascii="Arial" w:eastAsia="Times New Roman" w:hAnsi="Arial" w:cs="Arial"/>
          <w:color w:val="000000"/>
          <w:sz w:val="20"/>
          <w:szCs w:val="20"/>
          <w:lang w:eastAsia="en-GB"/>
        </w:rPr>
      </w:pPr>
      <w:r w:rsidRPr="000A1B15">
        <w:rPr>
          <w:rFonts w:ascii="Arial" w:eastAsia="Times New Roman" w:hAnsi="Arial" w:cs="Arial"/>
          <w:b/>
          <w:bCs/>
          <w:color w:val="000000"/>
          <w:sz w:val="20"/>
          <w:szCs w:val="20"/>
          <w:lang w:eastAsia="en-GB"/>
        </w:rPr>
        <w:t>Current trading and outlook</w:t>
      </w:r>
    </w:p>
    <w:p w14:paraId="7B676B69" w14:textId="060220B2" w:rsidR="003A6BBD" w:rsidRDefault="000C2895" w:rsidP="00C722FA">
      <w:pPr>
        <w:pStyle w:val="ListParagraph"/>
        <w:numPr>
          <w:ilvl w:val="0"/>
          <w:numId w:val="4"/>
        </w:numPr>
        <w:spacing w:after="100" w:afterAutospacing="1" w:line="240" w:lineRule="auto"/>
        <w:jc w:val="both"/>
        <w:rPr>
          <w:rFonts w:ascii="Arial" w:eastAsia="Times New Roman" w:hAnsi="Arial" w:cs="Arial"/>
          <w:color w:val="000000"/>
          <w:sz w:val="20"/>
          <w:szCs w:val="20"/>
          <w:lang w:eastAsia="en-GB"/>
        </w:rPr>
      </w:pPr>
      <w:r w:rsidRPr="0077073D">
        <w:rPr>
          <w:rFonts w:ascii="Arial" w:eastAsia="Times New Roman" w:hAnsi="Arial" w:cs="Arial"/>
          <w:color w:val="000000"/>
          <w:sz w:val="20"/>
          <w:szCs w:val="20"/>
          <w:lang w:eastAsia="en-GB"/>
        </w:rPr>
        <w:t>The new financial year has started well</w:t>
      </w:r>
      <w:r w:rsidR="000905C3" w:rsidRPr="0077073D">
        <w:rPr>
          <w:rFonts w:ascii="Arial" w:eastAsia="Times New Roman" w:hAnsi="Arial" w:cs="Arial"/>
          <w:color w:val="000000"/>
          <w:sz w:val="20"/>
          <w:szCs w:val="20"/>
          <w:lang w:eastAsia="en-GB"/>
        </w:rPr>
        <w:t xml:space="preserve">, </w:t>
      </w:r>
      <w:r w:rsidR="00513EFE">
        <w:rPr>
          <w:rFonts w:ascii="Arial" w:eastAsia="Times New Roman" w:hAnsi="Arial" w:cs="Arial"/>
          <w:color w:val="000000"/>
          <w:sz w:val="20"/>
          <w:szCs w:val="20"/>
          <w:lang w:eastAsia="en-GB"/>
        </w:rPr>
        <w:t>and we expect to deliver mid-single digit organic revenue growth</w:t>
      </w:r>
      <w:r w:rsidR="00564E6F" w:rsidRPr="00564E6F">
        <w:rPr>
          <w:rFonts w:ascii="Arial" w:eastAsia="Times New Roman" w:hAnsi="Arial" w:cs="Arial"/>
          <w:color w:val="000000"/>
          <w:sz w:val="20"/>
          <w:szCs w:val="20"/>
          <w:lang w:eastAsia="en-GB"/>
        </w:rPr>
        <w:t xml:space="preserve"> </w:t>
      </w:r>
      <w:r w:rsidR="00C722FA">
        <w:rPr>
          <w:rFonts w:ascii="Arial" w:eastAsia="Times New Roman" w:hAnsi="Arial" w:cs="Arial"/>
          <w:color w:val="000000"/>
          <w:sz w:val="20"/>
          <w:szCs w:val="20"/>
          <w:lang w:eastAsia="en-GB"/>
        </w:rPr>
        <w:t>driven by our TIC division</w:t>
      </w:r>
      <w:r w:rsidR="003A6BBD">
        <w:rPr>
          <w:rFonts w:ascii="Arial" w:eastAsia="Times New Roman" w:hAnsi="Arial" w:cs="Arial"/>
          <w:color w:val="000000"/>
          <w:sz w:val="20"/>
          <w:szCs w:val="20"/>
          <w:lang w:eastAsia="en-GB"/>
        </w:rPr>
        <w:t xml:space="preserve"> </w:t>
      </w:r>
    </w:p>
    <w:p w14:paraId="4406FB89" w14:textId="06F2621C" w:rsidR="00167229" w:rsidRPr="009C56E0" w:rsidRDefault="00167229" w:rsidP="00167229">
      <w:pPr>
        <w:pStyle w:val="ListParagraph"/>
        <w:numPr>
          <w:ilvl w:val="0"/>
          <w:numId w:val="4"/>
        </w:numPr>
        <w:spacing w:after="100" w:afterAutospacing="1" w:line="240" w:lineRule="auto"/>
        <w:jc w:val="both"/>
        <w:rPr>
          <w:rFonts w:ascii="Arial" w:eastAsia="Times New Roman" w:hAnsi="Arial" w:cs="Arial"/>
          <w:color w:val="000000"/>
          <w:sz w:val="20"/>
          <w:szCs w:val="20"/>
          <w:lang w:eastAsia="en-GB"/>
        </w:rPr>
      </w:pPr>
      <w:r w:rsidRPr="000F53A4">
        <w:rPr>
          <w:rFonts w:ascii="Arial" w:eastAsia="Times New Roman" w:hAnsi="Arial" w:cs="Arial"/>
          <w:color w:val="000000"/>
          <w:sz w:val="20"/>
          <w:szCs w:val="20"/>
          <w:lang w:eastAsia="en-GB"/>
        </w:rPr>
        <w:t>Marlowe forward strategy focussed on highly attractive and regulated business-critical service markets across Testing, Inspection &amp; Certification and Occupational Health</w:t>
      </w:r>
    </w:p>
    <w:p w14:paraId="427C0E3A" w14:textId="20D974EA" w:rsidR="00DC6F11" w:rsidRPr="00564E6F" w:rsidRDefault="00AA6200" w:rsidP="00564E6F">
      <w:pPr>
        <w:pStyle w:val="ListParagraph"/>
        <w:numPr>
          <w:ilvl w:val="0"/>
          <w:numId w:val="4"/>
        </w:numPr>
        <w:spacing w:after="100" w:afterAutospacing="1"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xml:space="preserve">Occupational Health </w:t>
      </w:r>
      <w:r w:rsidR="005530A1">
        <w:rPr>
          <w:rFonts w:ascii="Arial" w:eastAsia="Times New Roman" w:hAnsi="Arial" w:cs="Arial"/>
          <w:color w:val="000000"/>
          <w:sz w:val="20"/>
          <w:szCs w:val="20"/>
          <w:lang w:eastAsia="en-GB"/>
        </w:rPr>
        <w:t xml:space="preserve">revenue </w:t>
      </w:r>
      <w:r>
        <w:rPr>
          <w:rFonts w:ascii="Arial" w:eastAsia="Times New Roman" w:hAnsi="Arial" w:cs="Arial"/>
          <w:color w:val="000000"/>
          <w:sz w:val="20"/>
          <w:szCs w:val="20"/>
          <w:lang w:eastAsia="en-GB"/>
        </w:rPr>
        <w:t>expected t</w:t>
      </w:r>
      <w:r w:rsidR="005530A1">
        <w:rPr>
          <w:rFonts w:ascii="Arial" w:eastAsia="Times New Roman" w:hAnsi="Arial" w:cs="Arial"/>
          <w:color w:val="000000"/>
          <w:sz w:val="20"/>
          <w:szCs w:val="20"/>
          <w:lang w:eastAsia="en-GB"/>
        </w:rPr>
        <w:t>o be flat in FY25</w:t>
      </w:r>
      <w:r w:rsidR="003A6BBD">
        <w:rPr>
          <w:rFonts w:ascii="Arial" w:eastAsia="Times New Roman" w:hAnsi="Arial" w:cs="Arial"/>
          <w:color w:val="000000"/>
          <w:sz w:val="20"/>
          <w:szCs w:val="20"/>
          <w:lang w:eastAsia="en-GB"/>
        </w:rPr>
        <w:t>, with prior year contracts losses offset by recent contract wins</w:t>
      </w:r>
    </w:p>
    <w:p w14:paraId="2BB43EB9" w14:textId="0EF1B226" w:rsidR="00513EFE" w:rsidRDefault="00AA6200" w:rsidP="00D74274">
      <w:pPr>
        <w:pStyle w:val="ListParagraph"/>
        <w:numPr>
          <w:ilvl w:val="0"/>
          <w:numId w:val="4"/>
        </w:numPr>
        <w:spacing w:after="100" w:afterAutospacing="1"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r w:rsidR="00513EFE" w:rsidRPr="00513EFE">
        <w:rPr>
          <w:rFonts w:ascii="Arial" w:eastAsia="Times New Roman" w:hAnsi="Arial" w:cs="Arial"/>
          <w:color w:val="000000"/>
          <w:sz w:val="20"/>
          <w:szCs w:val="20"/>
          <w:lang w:eastAsia="en-GB"/>
        </w:rPr>
        <w:t>ll associated restructuring investments</w:t>
      </w:r>
      <w:r w:rsidR="0055076E">
        <w:rPr>
          <w:rFonts w:ascii="Arial" w:eastAsia="Times New Roman" w:hAnsi="Arial" w:cs="Arial"/>
          <w:color w:val="000000"/>
          <w:sz w:val="20"/>
          <w:szCs w:val="20"/>
          <w:lang w:eastAsia="en-GB"/>
        </w:rPr>
        <w:t xml:space="preserve"> are</w:t>
      </w:r>
      <w:r w:rsidR="00513EFE" w:rsidRPr="00513EFE">
        <w:rPr>
          <w:rFonts w:ascii="Arial" w:eastAsia="Times New Roman" w:hAnsi="Arial" w:cs="Arial"/>
          <w:color w:val="000000"/>
          <w:sz w:val="20"/>
          <w:szCs w:val="20"/>
          <w:lang w:eastAsia="en-GB"/>
        </w:rPr>
        <w:t xml:space="preserve"> </w:t>
      </w:r>
      <w:r w:rsidR="00314451">
        <w:rPr>
          <w:rFonts w:ascii="Arial" w:eastAsia="Times New Roman" w:hAnsi="Arial" w:cs="Arial"/>
          <w:color w:val="000000"/>
          <w:sz w:val="20"/>
          <w:szCs w:val="20"/>
          <w:lang w:eastAsia="en-GB"/>
        </w:rPr>
        <w:t>expected to</w:t>
      </w:r>
      <w:r w:rsidR="00513EFE" w:rsidRPr="00513EFE">
        <w:rPr>
          <w:rFonts w:ascii="Arial" w:eastAsia="Times New Roman" w:hAnsi="Arial" w:cs="Arial"/>
          <w:color w:val="000000"/>
          <w:sz w:val="20"/>
          <w:szCs w:val="20"/>
          <w:lang w:eastAsia="en-GB"/>
        </w:rPr>
        <w:t xml:space="preserve"> conclude by 30 September 2024, incurring costs estimated at £</w:t>
      </w:r>
      <w:r w:rsidR="005530A1">
        <w:rPr>
          <w:rFonts w:ascii="Arial" w:eastAsia="Times New Roman" w:hAnsi="Arial" w:cs="Arial"/>
          <w:color w:val="000000"/>
          <w:sz w:val="20"/>
          <w:szCs w:val="20"/>
          <w:lang w:eastAsia="en-GB"/>
        </w:rPr>
        <w:t>5</w:t>
      </w:r>
      <w:r w:rsidR="00513EFE" w:rsidRPr="00513EFE">
        <w:rPr>
          <w:rFonts w:ascii="Arial" w:eastAsia="Times New Roman" w:hAnsi="Arial" w:cs="Arial"/>
          <w:color w:val="000000"/>
          <w:sz w:val="20"/>
          <w:szCs w:val="20"/>
          <w:lang w:eastAsia="en-GB"/>
        </w:rPr>
        <w:t xml:space="preserve"> million</w:t>
      </w:r>
      <w:r w:rsidR="00167229">
        <w:rPr>
          <w:rFonts w:ascii="Arial" w:eastAsia="Times New Roman" w:hAnsi="Arial" w:cs="Arial"/>
          <w:color w:val="000000"/>
          <w:sz w:val="20"/>
          <w:szCs w:val="20"/>
          <w:lang w:eastAsia="en-GB"/>
        </w:rPr>
        <w:t xml:space="preserve"> in the first half of the current year</w:t>
      </w:r>
    </w:p>
    <w:p w14:paraId="6276DFE7" w14:textId="4D18E029" w:rsidR="00154A12" w:rsidRDefault="00154A12" w:rsidP="00D74274">
      <w:pPr>
        <w:pStyle w:val="ListParagraph"/>
        <w:numPr>
          <w:ilvl w:val="0"/>
          <w:numId w:val="4"/>
        </w:numPr>
        <w:spacing w:after="100" w:afterAutospacing="1"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We have made good progress with the </w:t>
      </w:r>
      <w:r w:rsidR="008713B6">
        <w:rPr>
          <w:rFonts w:ascii="Arial" w:eastAsia="Times New Roman" w:hAnsi="Arial" w:cs="Arial"/>
          <w:color w:val="000000"/>
          <w:sz w:val="20"/>
          <w:szCs w:val="20"/>
          <w:lang w:eastAsia="en-GB"/>
        </w:rPr>
        <w:t xml:space="preserve">ongoing </w:t>
      </w:r>
      <w:r>
        <w:rPr>
          <w:rFonts w:ascii="Arial" w:eastAsia="Times New Roman" w:hAnsi="Arial" w:cs="Arial"/>
          <w:color w:val="000000"/>
          <w:sz w:val="20"/>
          <w:szCs w:val="20"/>
          <w:lang w:eastAsia="en-GB"/>
        </w:rPr>
        <w:t xml:space="preserve">share buyback programme, having acquired </w:t>
      </w:r>
      <w:r w:rsidR="008713B6">
        <w:rPr>
          <w:rFonts w:ascii="Arial" w:eastAsia="Times New Roman" w:hAnsi="Arial" w:cs="Arial"/>
          <w:color w:val="000000"/>
          <w:sz w:val="20"/>
          <w:szCs w:val="20"/>
          <w:lang w:eastAsia="en-GB"/>
        </w:rPr>
        <w:t>7,364,035</w:t>
      </w:r>
      <w:r>
        <w:rPr>
          <w:rFonts w:ascii="Arial" w:eastAsia="Times New Roman" w:hAnsi="Arial" w:cs="Arial"/>
          <w:color w:val="000000"/>
          <w:sz w:val="20"/>
          <w:szCs w:val="20"/>
          <w:lang w:eastAsia="en-GB"/>
        </w:rPr>
        <w:t xml:space="preserve"> million shares for a total consideration of £</w:t>
      </w:r>
      <w:r w:rsidR="008713B6">
        <w:rPr>
          <w:rFonts w:ascii="Arial" w:eastAsia="Times New Roman" w:hAnsi="Arial" w:cs="Arial"/>
          <w:color w:val="000000"/>
          <w:sz w:val="20"/>
          <w:szCs w:val="20"/>
          <w:lang w:eastAsia="en-GB"/>
        </w:rPr>
        <w:t xml:space="preserve">30.9 </w:t>
      </w:r>
      <w:r>
        <w:rPr>
          <w:rFonts w:ascii="Arial" w:eastAsia="Times New Roman" w:hAnsi="Arial" w:cs="Arial"/>
          <w:color w:val="000000"/>
          <w:sz w:val="20"/>
          <w:szCs w:val="20"/>
          <w:lang w:eastAsia="en-GB"/>
        </w:rPr>
        <w:t xml:space="preserve">million as </w:t>
      </w:r>
      <w:proofErr w:type="gramStart"/>
      <w:r>
        <w:rPr>
          <w:rFonts w:ascii="Arial" w:eastAsia="Times New Roman" w:hAnsi="Arial" w:cs="Arial"/>
          <w:color w:val="000000"/>
          <w:sz w:val="20"/>
          <w:szCs w:val="20"/>
          <w:lang w:eastAsia="en-GB"/>
        </w:rPr>
        <w:t>at</w:t>
      </w:r>
      <w:proofErr w:type="gramEnd"/>
      <w:r>
        <w:rPr>
          <w:rFonts w:ascii="Arial" w:eastAsia="Times New Roman" w:hAnsi="Arial" w:cs="Arial"/>
          <w:color w:val="000000"/>
          <w:sz w:val="20"/>
          <w:szCs w:val="20"/>
          <w:lang w:eastAsia="en-GB"/>
        </w:rPr>
        <w:t xml:space="preserve"> </w:t>
      </w:r>
      <w:r w:rsidR="008713B6">
        <w:rPr>
          <w:rFonts w:ascii="Arial" w:eastAsia="Times New Roman" w:hAnsi="Arial" w:cs="Arial"/>
          <w:color w:val="000000"/>
          <w:sz w:val="20"/>
          <w:szCs w:val="20"/>
          <w:lang w:eastAsia="en-GB"/>
        </w:rPr>
        <w:t>19</w:t>
      </w:r>
      <w:r>
        <w:rPr>
          <w:rFonts w:ascii="Arial" w:eastAsia="Times New Roman" w:hAnsi="Arial" w:cs="Arial"/>
          <w:color w:val="000000"/>
          <w:sz w:val="20"/>
          <w:szCs w:val="20"/>
          <w:lang w:eastAsia="en-GB"/>
        </w:rPr>
        <w:t xml:space="preserve"> July 2024 </w:t>
      </w:r>
    </w:p>
    <w:p w14:paraId="62DC9980" w14:textId="64777AC1" w:rsidR="00067F2F" w:rsidRPr="009F17DF" w:rsidRDefault="00564E6F" w:rsidP="00F04D5C">
      <w:pPr>
        <w:pStyle w:val="ListParagraph"/>
        <w:numPr>
          <w:ilvl w:val="0"/>
          <w:numId w:val="4"/>
        </w:numPr>
        <w:spacing w:after="0" w:afterAutospacing="1" w:line="253" w:lineRule="atLeast"/>
        <w:jc w:val="both"/>
        <w:rPr>
          <w:rFonts w:ascii="Arial" w:eastAsia="Times New Roman" w:hAnsi="Arial" w:cs="Arial"/>
          <w:color w:val="000000"/>
          <w:sz w:val="20"/>
          <w:szCs w:val="20"/>
          <w:lang w:eastAsia="en-GB"/>
        </w:rPr>
      </w:pPr>
      <w:r w:rsidRPr="00067F2F">
        <w:rPr>
          <w:rFonts w:ascii="Arial" w:eastAsia="Times New Roman" w:hAnsi="Arial" w:cs="Arial"/>
          <w:color w:val="000000"/>
          <w:sz w:val="20"/>
          <w:szCs w:val="20"/>
          <w:lang w:eastAsia="en-GB"/>
        </w:rPr>
        <w:t xml:space="preserve">We expect </w:t>
      </w:r>
      <w:r w:rsidR="00067F2F" w:rsidRPr="00067F2F">
        <w:rPr>
          <w:rFonts w:ascii="Arial" w:eastAsia="Times New Roman" w:hAnsi="Arial" w:cs="Arial"/>
          <w:color w:val="000000"/>
          <w:sz w:val="20"/>
          <w:szCs w:val="20"/>
          <w:lang w:eastAsia="en-GB"/>
        </w:rPr>
        <w:t>remaining net cash proceeds of the Divestment and the Group’s strong cash generation will be used either to return further capital to shareholders or, when appropriate, invest in bolt-on acquisitio</w:t>
      </w:r>
      <w:r w:rsidR="00067F2F">
        <w:rPr>
          <w:rFonts w:ascii="Arial" w:eastAsia="Times New Roman" w:hAnsi="Arial" w:cs="Arial"/>
          <w:color w:val="000000"/>
          <w:sz w:val="20"/>
          <w:szCs w:val="20"/>
          <w:lang w:eastAsia="en-GB"/>
        </w:rPr>
        <w:t>ns</w:t>
      </w:r>
    </w:p>
    <w:p w14:paraId="35F59F4F" w14:textId="56AD3CBE" w:rsidR="00885552" w:rsidRPr="00067F2F" w:rsidRDefault="00B47929" w:rsidP="00F04D5C">
      <w:pPr>
        <w:pStyle w:val="ListParagraph"/>
        <w:numPr>
          <w:ilvl w:val="0"/>
          <w:numId w:val="4"/>
        </w:numPr>
        <w:spacing w:after="0" w:afterAutospacing="1" w:line="253" w:lineRule="atLeast"/>
        <w:jc w:val="both"/>
        <w:rPr>
          <w:rFonts w:ascii="Arial" w:eastAsia="Times New Roman" w:hAnsi="Arial" w:cs="Arial"/>
          <w:b/>
          <w:bCs/>
          <w:color w:val="000000"/>
          <w:sz w:val="20"/>
          <w:szCs w:val="20"/>
          <w:u w:val="single"/>
          <w:lang w:eastAsia="en-GB"/>
        </w:rPr>
      </w:pPr>
      <w:r w:rsidRPr="00067F2F">
        <w:rPr>
          <w:rFonts w:ascii="Arial" w:eastAsia="Times New Roman" w:hAnsi="Arial" w:cs="Arial"/>
          <w:color w:val="000000"/>
          <w:sz w:val="20"/>
          <w:szCs w:val="20"/>
          <w:lang w:eastAsia="en-GB"/>
        </w:rPr>
        <w:t>The Group</w:t>
      </w:r>
      <w:r w:rsidR="00885552" w:rsidRPr="00067F2F">
        <w:rPr>
          <w:rFonts w:ascii="Arial" w:eastAsia="Times New Roman" w:hAnsi="Arial" w:cs="Arial"/>
          <w:color w:val="000000"/>
          <w:sz w:val="20"/>
          <w:szCs w:val="20"/>
          <w:lang w:eastAsia="en-GB"/>
        </w:rPr>
        <w:t xml:space="preserve"> is</w:t>
      </w:r>
      <w:r w:rsidRPr="00067F2F">
        <w:rPr>
          <w:rFonts w:ascii="Arial" w:eastAsia="Times New Roman" w:hAnsi="Arial" w:cs="Arial"/>
          <w:color w:val="000000"/>
          <w:sz w:val="20"/>
          <w:szCs w:val="20"/>
          <w:lang w:eastAsia="en-GB"/>
        </w:rPr>
        <w:t xml:space="preserve"> </w:t>
      </w:r>
      <w:r w:rsidR="00F14C20" w:rsidRPr="00067F2F">
        <w:rPr>
          <w:rFonts w:ascii="Arial" w:eastAsia="Times New Roman" w:hAnsi="Arial" w:cs="Arial"/>
          <w:color w:val="000000"/>
          <w:sz w:val="20"/>
          <w:szCs w:val="20"/>
          <w:lang w:eastAsia="en-GB"/>
        </w:rPr>
        <w:t>focussed</w:t>
      </w:r>
      <w:r w:rsidR="00885552" w:rsidRPr="00067F2F">
        <w:rPr>
          <w:rFonts w:ascii="Arial" w:eastAsia="Times New Roman" w:hAnsi="Arial" w:cs="Arial"/>
          <w:color w:val="000000"/>
          <w:sz w:val="20"/>
          <w:szCs w:val="20"/>
          <w:lang w:eastAsia="en-GB"/>
        </w:rPr>
        <w:t xml:space="preserve"> on driving organic growth while improving margins and delivering attractive free cash flow </w:t>
      </w:r>
      <w:r w:rsidR="003A6BBD" w:rsidRPr="00067F2F">
        <w:rPr>
          <w:rFonts w:ascii="Arial" w:eastAsia="Times New Roman" w:hAnsi="Arial" w:cs="Arial"/>
          <w:color w:val="000000"/>
          <w:sz w:val="20"/>
          <w:szCs w:val="20"/>
          <w:lang w:eastAsia="en-GB"/>
        </w:rPr>
        <w:t xml:space="preserve">and </w:t>
      </w:r>
      <w:r w:rsidR="00D87525" w:rsidRPr="00067F2F">
        <w:rPr>
          <w:rFonts w:ascii="Arial" w:eastAsia="Times New Roman" w:hAnsi="Arial" w:cs="Arial"/>
          <w:color w:val="000000"/>
          <w:sz w:val="20"/>
          <w:szCs w:val="20"/>
          <w:lang w:eastAsia="en-GB"/>
        </w:rPr>
        <w:t xml:space="preserve">it </w:t>
      </w:r>
      <w:r w:rsidR="003A6BBD" w:rsidRPr="00067F2F">
        <w:rPr>
          <w:rFonts w:ascii="Arial" w:eastAsia="Times New Roman" w:hAnsi="Arial" w:cs="Arial"/>
          <w:color w:val="000000"/>
          <w:sz w:val="20"/>
          <w:szCs w:val="20"/>
          <w:lang w:eastAsia="en-GB"/>
        </w:rPr>
        <w:t xml:space="preserve">expects to deliver </w:t>
      </w:r>
      <w:r w:rsidR="00D87525" w:rsidRPr="00067F2F">
        <w:rPr>
          <w:rFonts w:ascii="Arial" w:eastAsia="Times New Roman" w:hAnsi="Arial" w:cs="Arial"/>
          <w:color w:val="000000"/>
          <w:sz w:val="20"/>
          <w:szCs w:val="20"/>
          <w:lang w:eastAsia="en-GB"/>
        </w:rPr>
        <w:t>strong</w:t>
      </w:r>
      <w:r w:rsidR="003A6BBD" w:rsidRPr="00067F2F">
        <w:rPr>
          <w:rFonts w:ascii="Arial" w:eastAsia="Times New Roman" w:hAnsi="Arial" w:cs="Arial"/>
          <w:color w:val="000000"/>
          <w:sz w:val="20"/>
          <w:szCs w:val="20"/>
          <w:lang w:eastAsia="en-GB"/>
        </w:rPr>
        <w:t xml:space="preserve"> adjusted EBITDA growth </w:t>
      </w:r>
    </w:p>
    <w:p w14:paraId="4BBB6214" w14:textId="77777777" w:rsidR="00885552" w:rsidRPr="0077073D" w:rsidRDefault="00885552" w:rsidP="00885552">
      <w:pPr>
        <w:pStyle w:val="ListParagraph"/>
        <w:spacing w:after="100" w:afterAutospacing="1" w:line="240" w:lineRule="auto"/>
        <w:jc w:val="both"/>
        <w:rPr>
          <w:rFonts w:ascii="Arial" w:eastAsia="Times New Roman" w:hAnsi="Arial" w:cs="Arial"/>
          <w:color w:val="000000"/>
          <w:sz w:val="20"/>
          <w:szCs w:val="20"/>
          <w:lang w:eastAsia="en-GB"/>
        </w:rPr>
      </w:pPr>
    </w:p>
    <w:p w14:paraId="00344D53" w14:textId="32D931C1" w:rsidR="00F632D4" w:rsidRPr="00B16A1C" w:rsidRDefault="00CF1C0F" w:rsidP="00DC6F11">
      <w:pP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Lord Ashcroft</w:t>
      </w:r>
      <w:r w:rsidR="00F632D4" w:rsidRPr="0077073D">
        <w:rPr>
          <w:rFonts w:ascii="Arial" w:eastAsia="Times New Roman" w:hAnsi="Arial" w:cs="Arial"/>
          <w:b/>
          <w:bCs/>
          <w:color w:val="000000"/>
          <w:sz w:val="20"/>
          <w:szCs w:val="20"/>
          <w:lang w:eastAsia="en-GB"/>
        </w:rPr>
        <w:t xml:space="preserve">, </w:t>
      </w:r>
      <w:r w:rsidR="00A51481">
        <w:rPr>
          <w:rFonts w:ascii="Arial" w:eastAsia="Times New Roman" w:hAnsi="Arial" w:cs="Arial"/>
          <w:b/>
          <w:bCs/>
          <w:color w:val="000000"/>
          <w:sz w:val="20"/>
          <w:szCs w:val="20"/>
          <w:lang w:eastAsia="en-GB"/>
        </w:rPr>
        <w:t>Interim Non-</w:t>
      </w:r>
      <w:r w:rsidR="00F632D4" w:rsidRPr="0077073D">
        <w:rPr>
          <w:rFonts w:ascii="Arial" w:eastAsia="Times New Roman" w:hAnsi="Arial" w:cs="Arial"/>
          <w:b/>
          <w:bCs/>
          <w:color w:val="000000"/>
          <w:sz w:val="20"/>
          <w:szCs w:val="20"/>
          <w:lang w:eastAsia="en-GB"/>
        </w:rPr>
        <w:t>Executive</w:t>
      </w:r>
      <w:r w:rsidR="00385628">
        <w:rPr>
          <w:rFonts w:ascii="Arial" w:eastAsia="Times New Roman" w:hAnsi="Arial" w:cs="Arial"/>
          <w:b/>
          <w:bCs/>
          <w:color w:val="000000"/>
          <w:sz w:val="20"/>
          <w:szCs w:val="20"/>
          <w:lang w:eastAsia="en-GB"/>
        </w:rPr>
        <w:t xml:space="preserve"> Chair</w:t>
      </w:r>
      <w:r w:rsidR="00F632D4" w:rsidRPr="0077073D">
        <w:rPr>
          <w:rFonts w:ascii="Arial" w:eastAsia="Times New Roman" w:hAnsi="Arial" w:cs="Arial"/>
          <w:b/>
          <w:bCs/>
          <w:color w:val="000000"/>
          <w:sz w:val="20"/>
          <w:szCs w:val="20"/>
          <w:lang w:eastAsia="en-GB"/>
        </w:rPr>
        <w:t xml:space="preserve">, </w:t>
      </w:r>
      <w:r w:rsidR="00B16A1C">
        <w:rPr>
          <w:rFonts w:ascii="Arial" w:eastAsia="Times New Roman" w:hAnsi="Arial" w:cs="Arial"/>
          <w:b/>
          <w:bCs/>
          <w:color w:val="000000"/>
          <w:sz w:val="20"/>
          <w:szCs w:val="20"/>
          <w:lang w:eastAsia="en-GB"/>
        </w:rPr>
        <w:t>commented</w:t>
      </w:r>
      <w:r w:rsidR="00F632D4" w:rsidRPr="0077073D">
        <w:rPr>
          <w:rFonts w:ascii="Arial" w:eastAsia="Times New Roman" w:hAnsi="Arial" w:cs="Arial"/>
          <w:b/>
          <w:bCs/>
          <w:color w:val="000000"/>
          <w:sz w:val="20"/>
          <w:szCs w:val="20"/>
          <w:lang w:eastAsia="en-GB"/>
        </w:rPr>
        <w:t>:</w:t>
      </w:r>
      <w:r w:rsidR="00F632D4" w:rsidRPr="0077073D">
        <w:rPr>
          <w:rFonts w:ascii="Arial" w:eastAsia="Times New Roman" w:hAnsi="Arial" w:cs="Arial"/>
          <w:color w:val="000000"/>
          <w:sz w:val="20"/>
          <w:szCs w:val="20"/>
          <w:lang w:eastAsia="en-GB"/>
        </w:rPr>
        <w:t xml:space="preserve"> </w:t>
      </w:r>
    </w:p>
    <w:p w14:paraId="76473796" w14:textId="4F001DD0" w:rsidR="00B16A1C" w:rsidRDefault="00E80E8C" w:rsidP="00C562F7">
      <w:pPr>
        <w:jc w:val="both"/>
        <w:rPr>
          <w:rFonts w:ascii="Arial" w:hAnsi="Arial" w:cs="Arial"/>
          <w:i/>
          <w:iCs/>
          <w:color w:val="000000"/>
          <w:sz w:val="20"/>
          <w:szCs w:val="20"/>
        </w:rPr>
      </w:pPr>
      <w:r>
        <w:rPr>
          <w:rFonts w:ascii="Arial" w:hAnsi="Arial" w:cs="Arial"/>
          <w:i/>
          <w:iCs/>
          <w:color w:val="000000"/>
          <w:sz w:val="20"/>
          <w:szCs w:val="20"/>
        </w:rPr>
        <w:t>“</w:t>
      </w:r>
      <w:r w:rsidR="00385628">
        <w:rPr>
          <w:rFonts w:ascii="Arial" w:hAnsi="Arial" w:cs="Arial"/>
          <w:i/>
          <w:iCs/>
          <w:color w:val="000000"/>
          <w:sz w:val="20"/>
          <w:szCs w:val="20"/>
        </w:rPr>
        <w:t xml:space="preserve">The Group </w:t>
      </w:r>
      <w:r w:rsidR="00B16A1C">
        <w:rPr>
          <w:rFonts w:ascii="Arial" w:hAnsi="Arial" w:cs="Arial"/>
          <w:i/>
          <w:iCs/>
          <w:color w:val="000000"/>
          <w:sz w:val="20"/>
          <w:szCs w:val="20"/>
        </w:rPr>
        <w:t xml:space="preserve">is now focussed on the highly attractive and regulated </w:t>
      </w:r>
      <w:r w:rsidR="005530A1">
        <w:rPr>
          <w:rFonts w:ascii="Arial" w:hAnsi="Arial" w:cs="Arial"/>
          <w:i/>
          <w:iCs/>
          <w:color w:val="000000"/>
          <w:sz w:val="20"/>
          <w:szCs w:val="20"/>
        </w:rPr>
        <w:t>business-critical service markets</w:t>
      </w:r>
      <w:r w:rsidR="00B16A1C">
        <w:rPr>
          <w:rFonts w:ascii="Arial" w:hAnsi="Arial" w:cs="Arial"/>
          <w:i/>
          <w:iCs/>
          <w:color w:val="000000"/>
          <w:sz w:val="20"/>
          <w:szCs w:val="20"/>
        </w:rPr>
        <w:t xml:space="preserve"> following the </w:t>
      </w:r>
      <w:r w:rsidR="00385628">
        <w:rPr>
          <w:rFonts w:ascii="Arial" w:hAnsi="Arial" w:cs="Arial"/>
          <w:i/>
          <w:iCs/>
          <w:color w:val="000000"/>
          <w:sz w:val="20"/>
          <w:szCs w:val="20"/>
        </w:rPr>
        <w:t xml:space="preserve">significant divestment </w:t>
      </w:r>
      <w:r w:rsidR="003A6BBD">
        <w:rPr>
          <w:rFonts w:ascii="Arial" w:hAnsi="Arial" w:cs="Arial"/>
          <w:i/>
          <w:iCs/>
          <w:color w:val="000000"/>
          <w:sz w:val="20"/>
          <w:szCs w:val="20"/>
        </w:rPr>
        <w:t xml:space="preserve">of </w:t>
      </w:r>
      <w:proofErr w:type="gramStart"/>
      <w:r w:rsidR="003A6BBD">
        <w:rPr>
          <w:rFonts w:ascii="Arial" w:hAnsi="Arial" w:cs="Arial"/>
          <w:i/>
          <w:iCs/>
          <w:color w:val="000000"/>
          <w:sz w:val="20"/>
          <w:szCs w:val="20"/>
        </w:rPr>
        <w:t>a number of</w:t>
      </w:r>
      <w:proofErr w:type="gramEnd"/>
      <w:r w:rsidR="003A6BBD">
        <w:rPr>
          <w:rFonts w:ascii="Arial" w:hAnsi="Arial" w:cs="Arial"/>
          <w:i/>
          <w:iCs/>
          <w:color w:val="000000"/>
          <w:sz w:val="20"/>
          <w:szCs w:val="20"/>
        </w:rPr>
        <w:t xml:space="preserve"> GRC software and service assets </w:t>
      </w:r>
      <w:r w:rsidR="00BE3C1F">
        <w:rPr>
          <w:rFonts w:ascii="Arial" w:hAnsi="Arial" w:cs="Arial"/>
          <w:i/>
          <w:iCs/>
          <w:color w:val="000000"/>
          <w:sz w:val="20"/>
          <w:szCs w:val="20"/>
        </w:rPr>
        <w:t>post year end</w:t>
      </w:r>
      <w:r w:rsidR="00B16A1C">
        <w:rPr>
          <w:rFonts w:ascii="Arial" w:hAnsi="Arial" w:cs="Arial"/>
          <w:i/>
          <w:iCs/>
          <w:color w:val="000000"/>
          <w:sz w:val="20"/>
          <w:szCs w:val="20"/>
        </w:rPr>
        <w:t>.</w:t>
      </w:r>
      <w:r w:rsidR="00385628">
        <w:rPr>
          <w:rFonts w:ascii="Arial" w:hAnsi="Arial" w:cs="Arial"/>
          <w:i/>
          <w:iCs/>
          <w:color w:val="000000"/>
          <w:sz w:val="20"/>
          <w:szCs w:val="20"/>
        </w:rPr>
        <w:t xml:space="preserve"> </w:t>
      </w:r>
      <w:r w:rsidR="00B16A1C">
        <w:rPr>
          <w:rFonts w:ascii="Arial" w:hAnsi="Arial" w:cs="Arial"/>
          <w:i/>
          <w:iCs/>
          <w:color w:val="000000"/>
          <w:sz w:val="20"/>
          <w:szCs w:val="20"/>
        </w:rPr>
        <w:t>The</w:t>
      </w:r>
      <w:r w:rsidR="00385628">
        <w:rPr>
          <w:rFonts w:ascii="Arial" w:hAnsi="Arial" w:cs="Arial"/>
          <w:i/>
          <w:iCs/>
          <w:color w:val="000000"/>
          <w:sz w:val="20"/>
          <w:szCs w:val="20"/>
        </w:rPr>
        <w:t xml:space="preserve"> enterprise value </w:t>
      </w:r>
      <w:r w:rsidR="003A6BBD">
        <w:rPr>
          <w:rFonts w:ascii="Arial" w:hAnsi="Arial" w:cs="Arial"/>
          <w:i/>
          <w:iCs/>
          <w:color w:val="000000"/>
          <w:sz w:val="20"/>
          <w:szCs w:val="20"/>
        </w:rPr>
        <w:t xml:space="preserve">of </w:t>
      </w:r>
      <w:r w:rsidR="00385628">
        <w:rPr>
          <w:rFonts w:ascii="Arial" w:hAnsi="Arial" w:cs="Arial"/>
          <w:i/>
          <w:iCs/>
          <w:color w:val="000000"/>
          <w:sz w:val="20"/>
          <w:szCs w:val="20"/>
        </w:rPr>
        <w:t>£430 million</w:t>
      </w:r>
      <w:r w:rsidR="00B16A1C">
        <w:rPr>
          <w:rFonts w:ascii="Arial" w:hAnsi="Arial" w:cs="Arial"/>
          <w:i/>
          <w:iCs/>
          <w:color w:val="000000"/>
          <w:sz w:val="20"/>
          <w:szCs w:val="20"/>
        </w:rPr>
        <w:t xml:space="preserve"> </w:t>
      </w:r>
      <w:r w:rsidR="003A6BBD">
        <w:rPr>
          <w:rFonts w:ascii="Arial" w:hAnsi="Arial" w:cs="Arial"/>
          <w:i/>
          <w:iCs/>
          <w:color w:val="000000"/>
          <w:sz w:val="20"/>
          <w:szCs w:val="20"/>
        </w:rPr>
        <w:t xml:space="preserve">achieved on exit </w:t>
      </w:r>
      <w:r w:rsidR="004A5988">
        <w:rPr>
          <w:rFonts w:ascii="Arial" w:hAnsi="Arial" w:cs="Arial"/>
          <w:i/>
          <w:iCs/>
          <w:color w:val="000000"/>
          <w:sz w:val="20"/>
          <w:szCs w:val="20"/>
        </w:rPr>
        <w:t xml:space="preserve">was </w:t>
      </w:r>
      <w:r w:rsidR="001B079A">
        <w:rPr>
          <w:rFonts w:ascii="Arial" w:hAnsi="Arial" w:cs="Arial"/>
          <w:i/>
          <w:iCs/>
          <w:color w:val="000000"/>
          <w:sz w:val="20"/>
          <w:szCs w:val="20"/>
        </w:rPr>
        <w:t>a good</w:t>
      </w:r>
      <w:r w:rsidR="002E7AE9" w:rsidRPr="002E7AE9">
        <w:rPr>
          <w:rFonts w:ascii="Arial" w:hAnsi="Arial" w:cs="Arial"/>
          <w:i/>
          <w:iCs/>
          <w:color w:val="000000"/>
          <w:sz w:val="20"/>
          <w:szCs w:val="20"/>
        </w:rPr>
        <w:t xml:space="preserve"> outcome for Marlowe and its shareholders</w:t>
      </w:r>
      <w:r w:rsidR="002E7AE9">
        <w:rPr>
          <w:rFonts w:ascii="Arial" w:hAnsi="Arial" w:cs="Arial"/>
          <w:i/>
          <w:iCs/>
          <w:color w:val="000000"/>
          <w:sz w:val="20"/>
          <w:szCs w:val="20"/>
        </w:rPr>
        <w:t xml:space="preserve"> and</w:t>
      </w:r>
      <w:r w:rsidR="00B16A1C">
        <w:rPr>
          <w:rFonts w:ascii="Arial" w:hAnsi="Arial" w:cs="Arial"/>
          <w:i/>
          <w:iCs/>
          <w:color w:val="000000"/>
          <w:sz w:val="20"/>
          <w:szCs w:val="20"/>
        </w:rPr>
        <w:t xml:space="preserve"> </w:t>
      </w:r>
      <w:r w:rsidR="003A6BBD">
        <w:rPr>
          <w:rFonts w:ascii="Arial" w:hAnsi="Arial" w:cs="Arial"/>
          <w:i/>
          <w:iCs/>
          <w:color w:val="000000"/>
          <w:sz w:val="20"/>
          <w:szCs w:val="20"/>
        </w:rPr>
        <w:t>significantly exceeded Marlowe’s market capitalisation prior to announcement.</w:t>
      </w:r>
      <w:r w:rsidR="00F329C7">
        <w:rPr>
          <w:rFonts w:ascii="Arial" w:hAnsi="Arial" w:cs="Arial"/>
          <w:i/>
          <w:iCs/>
          <w:color w:val="000000"/>
          <w:sz w:val="20"/>
          <w:szCs w:val="20"/>
        </w:rPr>
        <w:t>”</w:t>
      </w:r>
    </w:p>
    <w:p w14:paraId="572F7030" w14:textId="56CA0270" w:rsidR="007A20E0" w:rsidRDefault="00E80E8C" w:rsidP="00557D45">
      <w:pPr>
        <w:pStyle w:val="aek"/>
        <w:spacing w:after="0"/>
        <w:jc w:val="both"/>
        <w:rPr>
          <w:rFonts w:ascii="Arial" w:hAnsi="Arial" w:cs="Arial"/>
          <w:i/>
          <w:iCs/>
          <w:color w:val="000000"/>
          <w:sz w:val="20"/>
          <w:szCs w:val="20"/>
        </w:rPr>
      </w:pPr>
      <w:r>
        <w:rPr>
          <w:rFonts w:ascii="Arial" w:hAnsi="Arial" w:cs="Arial"/>
          <w:i/>
          <w:iCs/>
          <w:color w:val="000000"/>
          <w:sz w:val="20"/>
          <w:szCs w:val="20"/>
        </w:rPr>
        <w:t>“</w:t>
      </w:r>
      <w:r w:rsidR="002E7AE9">
        <w:rPr>
          <w:rFonts w:ascii="Arial" w:hAnsi="Arial" w:cs="Arial"/>
          <w:i/>
          <w:iCs/>
          <w:color w:val="000000"/>
          <w:sz w:val="20"/>
          <w:szCs w:val="20"/>
        </w:rPr>
        <w:t>Marlowe now consists of two market-leading divisions in TIC and Occupational Healt</w:t>
      </w:r>
      <w:r w:rsidR="003A6BBD">
        <w:rPr>
          <w:rFonts w:ascii="Arial" w:hAnsi="Arial" w:cs="Arial"/>
          <w:i/>
          <w:iCs/>
          <w:color w:val="000000"/>
          <w:sz w:val="20"/>
          <w:szCs w:val="20"/>
        </w:rPr>
        <w:t>h.</w:t>
      </w:r>
      <w:r w:rsidR="005B7186">
        <w:rPr>
          <w:rFonts w:ascii="Arial" w:hAnsi="Arial" w:cs="Arial"/>
          <w:i/>
          <w:iCs/>
          <w:color w:val="000000"/>
          <w:sz w:val="20"/>
          <w:szCs w:val="20"/>
        </w:rPr>
        <w:t xml:space="preserve"> </w:t>
      </w:r>
      <w:r w:rsidR="002E7AE9">
        <w:rPr>
          <w:rFonts w:ascii="Arial" w:hAnsi="Arial" w:cs="Arial"/>
          <w:i/>
          <w:iCs/>
          <w:color w:val="000000"/>
          <w:sz w:val="20"/>
          <w:szCs w:val="20"/>
        </w:rPr>
        <w:t xml:space="preserve">Within TIC we implement testing and inspection regimes to certify business premises and </w:t>
      </w:r>
      <w:r w:rsidR="003A6BBD">
        <w:rPr>
          <w:rFonts w:ascii="Arial" w:hAnsi="Arial" w:cs="Arial"/>
          <w:i/>
          <w:iCs/>
          <w:color w:val="000000"/>
          <w:sz w:val="20"/>
          <w:szCs w:val="20"/>
        </w:rPr>
        <w:t>en</w:t>
      </w:r>
      <w:r w:rsidR="002E7AE9">
        <w:rPr>
          <w:rFonts w:ascii="Arial" w:hAnsi="Arial" w:cs="Arial"/>
          <w:i/>
          <w:iCs/>
          <w:color w:val="000000"/>
          <w:sz w:val="20"/>
          <w:szCs w:val="20"/>
        </w:rPr>
        <w:t xml:space="preserve">sure </w:t>
      </w:r>
      <w:r w:rsidR="003A6BBD">
        <w:rPr>
          <w:rFonts w:ascii="Arial" w:hAnsi="Arial" w:cs="Arial"/>
          <w:i/>
          <w:iCs/>
          <w:color w:val="000000"/>
          <w:sz w:val="20"/>
          <w:szCs w:val="20"/>
        </w:rPr>
        <w:t xml:space="preserve">critical </w:t>
      </w:r>
      <w:r w:rsidR="002E7AE9">
        <w:rPr>
          <w:rFonts w:ascii="Arial" w:hAnsi="Arial" w:cs="Arial"/>
          <w:i/>
          <w:iCs/>
          <w:color w:val="000000"/>
          <w:sz w:val="20"/>
          <w:szCs w:val="20"/>
        </w:rPr>
        <w:t>systems are safe and compliant across fire safety &amp; security</w:t>
      </w:r>
      <w:r w:rsidR="003A6BBD">
        <w:rPr>
          <w:rFonts w:ascii="Arial" w:hAnsi="Arial" w:cs="Arial"/>
          <w:i/>
          <w:iCs/>
          <w:color w:val="000000"/>
          <w:sz w:val="20"/>
          <w:szCs w:val="20"/>
        </w:rPr>
        <w:t xml:space="preserve"> and </w:t>
      </w:r>
      <w:r w:rsidR="002E7AE9">
        <w:rPr>
          <w:rFonts w:ascii="Arial" w:hAnsi="Arial" w:cs="Arial"/>
          <w:i/>
          <w:iCs/>
          <w:color w:val="000000"/>
          <w:sz w:val="20"/>
          <w:szCs w:val="20"/>
        </w:rPr>
        <w:t xml:space="preserve">water </w:t>
      </w:r>
      <w:r w:rsidR="003A6BBD">
        <w:rPr>
          <w:rFonts w:ascii="Arial" w:hAnsi="Arial" w:cs="Arial"/>
          <w:i/>
          <w:iCs/>
          <w:color w:val="000000"/>
          <w:sz w:val="20"/>
          <w:szCs w:val="20"/>
        </w:rPr>
        <w:t xml:space="preserve">&amp; </w:t>
      </w:r>
      <w:r w:rsidR="002E7AE9">
        <w:rPr>
          <w:rFonts w:ascii="Arial" w:hAnsi="Arial" w:cs="Arial"/>
          <w:i/>
          <w:iCs/>
          <w:color w:val="000000"/>
          <w:sz w:val="20"/>
          <w:szCs w:val="20"/>
        </w:rPr>
        <w:t xml:space="preserve">air hygiene. </w:t>
      </w:r>
      <w:r w:rsidR="003A6BBD">
        <w:rPr>
          <w:rFonts w:ascii="Arial" w:hAnsi="Arial" w:cs="Arial"/>
          <w:i/>
          <w:iCs/>
          <w:color w:val="000000"/>
          <w:sz w:val="20"/>
          <w:szCs w:val="20"/>
        </w:rPr>
        <w:t>O</w:t>
      </w:r>
      <w:r w:rsidR="002E7AE9">
        <w:rPr>
          <w:rFonts w:ascii="Arial" w:hAnsi="Arial" w:cs="Arial"/>
          <w:i/>
          <w:iCs/>
          <w:color w:val="000000"/>
          <w:sz w:val="20"/>
          <w:szCs w:val="20"/>
        </w:rPr>
        <w:t>ur Occupational Health business assure</w:t>
      </w:r>
      <w:r w:rsidR="007A20E0">
        <w:rPr>
          <w:rFonts w:ascii="Arial" w:hAnsi="Arial" w:cs="Arial"/>
          <w:i/>
          <w:iCs/>
          <w:color w:val="000000"/>
          <w:sz w:val="20"/>
          <w:szCs w:val="20"/>
        </w:rPr>
        <w:t>s</w:t>
      </w:r>
      <w:r w:rsidR="002E7AE9">
        <w:rPr>
          <w:rFonts w:ascii="Arial" w:hAnsi="Arial" w:cs="Arial"/>
          <w:i/>
          <w:iCs/>
          <w:color w:val="000000"/>
          <w:sz w:val="20"/>
          <w:szCs w:val="20"/>
        </w:rPr>
        <w:t xml:space="preserve"> </w:t>
      </w:r>
      <w:r w:rsidR="007A20E0">
        <w:rPr>
          <w:rFonts w:ascii="Arial" w:hAnsi="Arial" w:cs="Arial"/>
          <w:i/>
          <w:iCs/>
          <w:color w:val="000000"/>
          <w:sz w:val="20"/>
          <w:szCs w:val="20"/>
        </w:rPr>
        <w:t>regulatory compliance across our customers</w:t>
      </w:r>
      <w:r w:rsidR="00BE3C1F">
        <w:rPr>
          <w:rFonts w:ascii="Arial" w:hAnsi="Arial" w:cs="Arial"/>
          <w:i/>
          <w:iCs/>
          <w:color w:val="000000"/>
          <w:sz w:val="20"/>
          <w:szCs w:val="20"/>
        </w:rPr>
        <w:t>’</w:t>
      </w:r>
      <w:r w:rsidR="007A20E0">
        <w:rPr>
          <w:rFonts w:ascii="Arial" w:hAnsi="Arial" w:cs="Arial"/>
          <w:i/>
          <w:iCs/>
          <w:color w:val="000000"/>
          <w:sz w:val="20"/>
          <w:szCs w:val="20"/>
        </w:rPr>
        <w:t xml:space="preserve"> employees, implementing health surveillance, absence management and employee wellbeing initiatives.</w:t>
      </w:r>
      <w:r>
        <w:rPr>
          <w:rFonts w:ascii="Arial" w:hAnsi="Arial" w:cs="Arial"/>
          <w:i/>
          <w:iCs/>
          <w:color w:val="000000"/>
          <w:sz w:val="20"/>
          <w:szCs w:val="20"/>
        </w:rPr>
        <w:t>”</w:t>
      </w:r>
    </w:p>
    <w:p w14:paraId="66B82DAA" w14:textId="2B870AC4" w:rsidR="007A20E0" w:rsidRDefault="00E80E8C" w:rsidP="00557D45">
      <w:pPr>
        <w:pStyle w:val="aek"/>
        <w:spacing w:after="0"/>
        <w:jc w:val="both"/>
        <w:rPr>
          <w:rFonts w:ascii="Arial" w:hAnsi="Arial" w:cs="Arial"/>
          <w:i/>
          <w:iCs/>
          <w:color w:val="000000"/>
          <w:sz w:val="20"/>
          <w:szCs w:val="20"/>
        </w:rPr>
      </w:pPr>
      <w:r>
        <w:rPr>
          <w:rFonts w:ascii="Arial" w:hAnsi="Arial" w:cs="Arial"/>
          <w:i/>
          <w:iCs/>
          <w:color w:val="000000"/>
          <w:sz w:val="20"/>
          <w:szCs w:val="20"/>
        </w:rPr>
        <w:t>“</w:t>
      </w:r>
      <w:r w:rsidR="00314451">
        <w:rPr>
          <w:rFonts w:ascii="Arial" w:hAnsi="Arial" w:cs="Arial"/>
          <w:i/>
          <w:iCs/>
          <w:color w:val="000000"/>
          <w:sz w:val="20"/>
          <w:szCs w:val="20"/>
        </w:rPr>
        <w:t>Looking forward the Group has a clear focus on driving organic growth, delivering margin improvement and converting this into strong cash flow performance.</w:t>
      </w:r>
      <w:r w:rsidR="007A20E0">
        <w:rPr>
          <w:rFonts w:ascii="Arial" w:hAnsi="Arial" w:cs="Arial"/>
          <w:i/>
          <w:iCs/>
          <w:color w:val="000000"/>
          <w:sz w:val="20"/>
          <w:szCs w:val="20"/>
        </w:rPr>
        <w:t xml:space="preserve"> </w:t>
      </w:r>
      <w:r w:rsidR="00314451">
        <w:rPr>
          <w:rFonts w:ascii="Arial" w:hAnsi="Arial" w:cs="Arial"/>
          <w:i/>
          <w:iCs/>
          <w:color w:val="000000"/>
          <w:sz w:val="20"/>
          <w:szCs w:val="20"/>
        </w:rPr>
        <w:t>This focus</w:t>
      </w:r>
      <w:r w:rsidR="004A5988">
        <w:rPr>
          <w:rFonts w:ascii="Arial" w:hAnsi="Arial" w:cs="Arial"/>
          <w:i/>
          <w:iCs/>
          <w:color w:val="000000"/>
          <w:sz w:val="20"/>
          <w:szCs w:val="20"/>
        </w:rPr>
        <w:t xml:space="preserve"> and our strong balance sheet </w:t>
      </w:r>
      <w:proofErr w:type="gramStart"/>
      <w:r w:rsidR="00C2597A">
        <w:rPr>
          <w:rFonts w:ascii="Arial" w:hAnsi="Arial" w:cs="Arial"/>
          <w:i/>
          <w:iCs/>
          <w:color w:val="000000"/>
          <w:sz w:val="20"/>
          <w:szCs w:val="20"/>
        </w:rPr>
        <w:t>support</w:t>
      </w:r>
      <w:r w:rsidR="001B079A">
        <w:rPr>
          <w:rFonts w:ascii="Arial" w:hAnsi="Arial" w:cs="Arial"/>
          <w:i/>
          <w:iCs/>
          <w:color w:val="000000"/>
          <w:sz w:val="20"/>
          <w:szCs w:val="20"/>
        </w:rPr>
        <w:t>s</w:t>
      </w:r>
      <w:proofErr w:type="gramEnd"/>
      <w:r w:rsidR="004A5988">
        <w:rPr>
          <w:rFonts w:ascii="Arial" w:hAnsi="Arial" w:cs="Arial"/>
          <w:i/>
          <w:iCs/>
          <w:color w:val="000000"/>
          <w:sz w:val="20"/>
          <w:szCs w:val="20"/>
        </w:rPr>
        <w:t xml:space="preserve"> the Board’s confidence in </w:t>
      </w:r>
      <w:r w:rsidR="005530A1">
        <w:rPr>
          <w:rFonts w:ascii="Arial" w:hAnsi="Arial" w:cs="Arial"/>
          <w:i/>
          <w:iCs/>
          <w:color w:val="000000"/>
          <w:sz w:val="20"/>
          <w:szCs w:val="20"/>
        </w:rPr>
        <w:t>the business going forward</w:t>
      </w:r>
      <w:r>
        <w:rPr>
          <w:rFonts w:ascii="Arial" w:hAnsi="Arial" w:cs="Arial"/>
          <w:i/>
          <w:iCs/>
          <w:color w:val="000000"/>
          <w:sz w:val="20"/>
          <w:szCs w:val="20"/>
        </w:rPr>
        <w:t>.”</w:t>
      </w:r>
    </w:p>
    <w:p w14:paraId="46183B14" w14:textId="23A28E6C" w:rsidR="007A20E0" w:rsidRDefault="00E80E8C" w:rsidP="00557D45">
      <w:pPr>
        <w:pStyle w:val="aek"/>
        <w:spacing w:after="0"/>
        <w:jc w:val="both"/>
        <w:rPr>
          <w:rFonts w:ascii="Arial" w:hAnsi="Arial" w:cs="Arial"/>
          <w:i/>
          <w:iCs/>
          <w:color w:val="000000"/>
          <w:sz w:val="20"/>
          <w:szCs w:val="20"/>
        </w:rPr>
      </w:pPr>
      <w:r>
        <w:rPr>
          <w:rFonts w:ascii="Arial" w:hAnsi="Arial" w:cs="Arial"/>
          <w:i/>
          <w:iCs/>
          <w:color w:val="000000"/>
          <w:sz w:val="20"/>
          <w:szCs w:val="20"/>
        </w:rPr>
        <w:t>“</w:t>
      </w:r>
      <w:r w:rsidR="004A5988">
        <w:rPr>
          <w:rFonts w:ascii="Arial" w:hAnsi="Arial" w:cs="Arial"/>
          <w:i/>
          <w:iCs/>
          <w:color w:val="000000"/>
          <w:sz w:val="20"/>
          <w:szCs w:val="20"/>
        </w:rPr>
        <w:t xml:space="preserve">I would like to thank all of Marlowe’s employees for all their </w:t>
      </w:r>
      <w:r w:rsidR="00314451">
        <w:rPr>
          <w:rFonts w:ascii="Arial" w:hAnsi="Arial" w:cs="Arial"/>
          <w:i/>
          <w:iCs/>
          <w:color w:val="000000"/>
          <w:sz w:val="20"/>
          <w:szCs w:val="20"/>
        </w:rPr>
        <w:t>commitment</w:t>
      </w:r>
      <w:r w:rsidR="004A5988">
        <w:rPr>
          <w:rFonts w:ascii="Arial" w:hAnsi="Arial" w:cs="Arial"/>
          <w:i/>
          <w:iCs/>
          <w:color w:val="000000"/>
          <w:sz w:val="20"/>
          <w:szCs w:val="20"/>
        </w:rPr>
        <w:t xml:space="preserve"> and hard work throughout the </w:t>
      </w:r>
      <w:r w:rsidR="00C9489E">
        <w:rPr>
          <w:rFonts w:ascii="Arial" w:hAnsi="Arial" w:cs="Arial"/>
          <w:i/>
          <w:iCs/>
          <w:color w:val="000000"/>
          <w:sz w:val="20"/>
          <w:szCs w:val="20"/>
        </w:rPr>
        <w:t>year</w:t>
      </w:r>
      <w:r w:rsidR="004A5988">
        <w:rPr>
          <w:rFonts w:ascii="Arial" w:hAnsi="Arial" w:cs="Arial"/>
          <w:i/>
          <w:iCs/>
          <w:color w:val="000000"/>
          <w:sz w:val="20"/>
          <w:szCs w:val="20"/>
        </w:rPr>
        <w:t xml:space="preserve"> and we would like to wish </w:t>
      </w:r>
      <w:r w:rsidR="00EF315E">
        <w:rPr>
          <w:rFonts w:ascii="Arial" w:hAnsi="Arial" w:cs="Arial"/>
          <w:i/>
          <w:iCs/>
          <w:color w:val="000000"/>
          <w:sz w:val="20"/>
          <w:szCs w:val="20"/>
        </w:rPr>
        <w:t>all</w:t>
      </w:r>
      <w:r w:rsidR="004A5988">
        <w:rPr>
          <w:rFonts w:ascii="Arial" w:hAnsi="Arial" w:cs="Arial"/>
          <w:i/>
          <w:iCs/>
          <w:color w:val="000000"/>
          <w:sz w:val="20"/>
          <w:szCs w:val="20"/>
        </w:rPr>
        <w:t xml:space="preserve"> the best to those</w:t>
      </w:r>
      <w:r w:rsidR="00661DB7">
        <w:rPr>
          <w:rFonts w:ascii="Arial" w:hAnsi="Arial" w:cs="Arial"/>
          <w:i/>
          <w:iCs/>
          <w:color w:val="000000"/>
          <w:sz w:val="20"/>
          <w:szCs w:val="20"/>
        </w:rPr>
        <w:t xml:space="preserve"> who</w:t>
      </w:r>
      <w:r w:rsidR="004A5988">
        <w:rPr>
          <w:rFonts w:ascii="Arial" w:hAnsi="Arial" w:cs="Arial"/>
          <w:i/>
          <w:iCs/>
          <w:color w:val="000000"/>
          <w:sz w:val="20"/>
          <w:szCs w:val="20"/>
        </w:rPr>
        <w:t xml:space="preserve"> </w:t>
      </w:r>
      <w:r w:rsidR="003A6BBD">
        <w:rPr>
          <w:rFonts w:ascii="Arial" w:hAnsi="Arial" w:cs="Arial"/>
          <w:i/>
          <w:iCs/>
          <w:color w:val="000000"/>
          <w:sz w:val="20"/>
          <w:szCs w:val="20"/>
        </w:rPr>
        <w:t xml:space="preserve">left </w:t>
      </w:r>
      <w:r w:rsidR="004A5988">
        <w:rPr>
          <w:rFonts w:ascii="Arial" w:hAnsi="Arial" w:cs="Arial"/>
          <w:i/>
          <w:iCs/>
          <w:color w:val="000000"/>
          <w:sz w:val="20"/>
          <w:szCs w:val="20"/>
        </w:rPr>
        <w:t>us with the divestment.”</w:t>
      </w:r>
    </w:p>
    <w:p w14:paraId="7C91D4BA" w14:textId="0BC53BCE" w:rsidR="003A6BBD" w:rsidRDefault="003A6BBD" w:rsidP="003A6BBD">
      <w:pPr>
        <w:spacing w:after="0" w:line="253" w:lineRule="atLeast"/>
        <w:rPr>
          <w:rFonts w:ascii="Arial" w:eastAsia="Times New Roman" w:hAnsi="Arial" w:cs="Arial"/>
          <w:color w:val="000000"/>
          <w:sz w:val="20"/>
          <w:szCs w:val="20"/>
          <w:lang w:eastAsia="en-GB"/>
        </w:rPr>
      </w:pPr>
      <w:r w:rsidRPr="0077073D">
        <w:rPr>
          <w:rFonts w:ascii="Arial" w:eastAsia="Times New Roman" w:hAnsi="Arial" w:cs="Arial"/>
          <w:color w:val="000000"/>
          <w:sz w:val="20"/>
          <w:szCs w:val="20"/>
          <w:lang w:eastAsia="en-GB"/>
        </w:rPr>
        <w:t xml:space="preserve">Marlowe </w:t>
      </w:r>
      <w:r>
        <w:rPr>
          <w:rFonts w:ascii="Arial" w:eastAsia="Times New Roman" w:hAnsi="Arial" w:cs="Arial"/>
          <w:color w:val="000000"/>
          <w:sz w:val="20"/>
          <w:szCs w:val="20"/>
          <w:lang w:eastAsia="en-GB"/>
        </w:rPr>
        <w:t>has today published a</w:t>
      </w:r>
      <w:r w:rsidRPr="0077073D">
        <w:rPr>
          <w:rFonts w:ascii="Arial" w:eastAsia="Times New Roman" w:hAnsi="Arial" w:cs="Arial"/>
          <w:color w:val="000000"/>
          <w:sz w:val="20"/>
          <w:szCs w:val="20"/>
          <w:lang w:eastAsia="en-GB"/>
        </w:rPr>
        <w:t xml:space="preserve"> full year results presentation </w:t>
      </w:r>
      <w:r>
        <w:rPr>
          <w:rFonts w:ascii="Arial" w:eastAsia="Times New Roman" w:hAnsi="Arial" w:cs="Arial"/>
          <w:color w:val="000000"/>
          <w:sz w:val="20"/>
          <w:szCs w:val="20"/>
          <w:lang w:eastAsia="en-GB"/>
        </w:rPr>
        <w:t>which has been</w:t>
      </w:r>
      <w:r w:rsidRPr="00AA748B">
        <w:rPr>
          <w:rFonts w:ascii="Arial" w:eastAsia="Times New Roman" w:hAnsi="Arial" w:cs="Arial"/>
          <w:color w:val="000000"/>
          <w:sz w:val="20"/>
          <w:szCs w:val="20"/>
          <w:lang w:eastAsia="en-GB"/>
        </w:rPr>
        <w:t xml:space="preserve"> made available on the Marlowe plc website</w:t>
      </w:r>
      <w:r>
        <w:rPr>
          <w:rFonts w:ascii="Arial" w:eastAsia="Times New Roman" w:hAnsi="Arial" w:cs="Arial"/>
          <w:color w:val="000000"/>
          <w:sz w:val="20"/>
          <w:szCs w:val="20"/>
          <w:lang w:eastAsia="en-GB"/>
        </w:rPr>
        <w:t>.</w:t>
      </w:r>
    </w:p>
    <w:p w14:paraId="049A5542" w14:textId="77777777" w:rsidR="003A6BBD" w:rsidRPr="00772E92" w:rsidRDefault="003A6BBD" w:rsidP="00772E92">
      <w:pPr>
        <w:spacing w:after="0" w:line="253" w:lineRule="atLeast"/>
        <w:rPr>
          <w:rFonts w:ascii="Arial" w:hAnsi="Arial" w:cs="Arial"/>
          <w:sz w:val="20"/>
          <w:szCs w:val="20"/>
        </w:rPr>
      </w:pPr>
    </w:p>
    <w:tbl>
      <w:tblPr>
        <w:tblW w:w="0" w:type="auto"/>
        <w:tblInd w:w="-108" w:type="dxa"/>
        <w:tblCellMar>
          <w:left w:w="0" w:type="dxa"/>
          <w:right w:w="0" w:type="dxa"/>
        </w:tblCellMar>
        <w:tblLook w:val="04A0" w:firstRow="1" w:lastRow="0" w:firstColumn="1" w:lastColumn="0" w:noHBand="0" w:noVBand="1"/>
      </w:tblPr>
      <w:tblGrid>
        <w:gridCol w:w="7049"/>
        <w:gridCol w:w="2693"/>
      </w:tblGrid>
      <w:tr w:rsidR="008F2842" w:rsidRPr="0077073D" w14:paraId="48014691" w14:textId="77777777" w:rsidTr="00BC6297">
        <w:trPr>
          <w:trHeight w:val="80"/>
        </w:trPr>
        <w:tc>
          <w:tcPr>
            <w:tcW w:w="7049" w:type="dxa"/>
            <w:tcMar>
              <w:top w:w="0" w:type="dxa"/>
              <w:left w:w="108" w:type="dxa"/>
              <w:bottom w:w="0" w:type="dxa"/>
              <w:right w:w="108" w:type="dxa"/>
            </w:tcMar>
            <w:hideMark/>
          </w:tcPr>
          <w:p w14:paraId="5693DBAE" w14:textId="77777777" w:rsidR="008F2842" w:rsidRPr="0077073D" w:rsidRDefault="008F2842" w:rsidP="00C6061D">
            <w:pPr>
              <w:spacing w:after="0" w:line="235" w:lineRule="atLeast"/>
              <w:rPr>
                <w:rFonts w:ascii="Arial" w:eastAsia="Times New Roman" w:hAnsi="Arial" w:cs="Arial"/>
                <w:b/>
                <w:bCs/>
                <w:sz w:val="20"/>
                <w:szCs w:val="20"/>
                <w:lang w:eastAsia="en-GB"/>
              </w:rPr>
            </w:pPr>
            <w:bookmarkStart w:id="2" w:name="_Hlk171066525"/>
            <w:r w:rsidRPr="0077073D">
              <w:rPr>
                <w:rFonts w:ascii="Arial" w:eastAsia="Times New Roman" w:hAnsi="Arial" w:cs="Arial"/>
                <w:b/>
                <w:bCs/>
                <w:sz w:val="20"/>
                <w:szCs w:val="20"/>
                <w:lang w:eastAsia="en-GB"/>
              </w:rPr>
              <w:t>For further information:</w:t>
            </w:r>
          </w:p>
        </w:tc>
        <w:tc>
          <w:tcPr>
            <w:tcW w:w="2693" w:type="dxa"/>
            <w:tcMar>
              <w:top w:w="0" w:type="dxa"/>
              <w:left w:w="108" w:type="dxa"/>
              <w:bottom w:w="0" w:type="dxa"/>
              <w:right w:w="108" w:type="dxa"/>
            </w:tcMar>
            <w:hideMark/>
          </w:tcPr>
          <w:p w14:paraId="015F81C0" w14:textId="77777777" w:rsidR="008F2842" w:rsidRPr="0077073D" w:rsidRDefault="008F2842" w:rsidP="00C6061D">
            <w:pPr>
              <w:spacing w:after="0" w:line="235" w:lineRule="atLeast"/>
              <w:rPr>
                <w:rFonts w:ascii="Arial" w:eastAsia="Times New Roman" w:hAnsi="Arial" w:cs="Arial"/>
                <w:sz w:val="20"/>
                <w:szCs w:val="20"/>
                <w:lang w:eastAsia="en-GB"/>
              </w:rPr>
            </w:pPr>
          </w:p>
        </w:tc>
      </w:tr>
      <w:tr w:rsidR="008F2842" w:rsidRPr="0077073D" w14:paraId="63C98CA4" w14:textId="77777777" w:rsidTr="00BC6297">
        <w:tc>
          <w:tcPr>
            <w:tcW w:w="7049" w:type="dxa"/>
            <w:tcMar>
              <w:top w:w="0" w:type="dxa"/>
              <w:left w:w="108" w:type="dxa"/>
              <w:bottom w:w="0" w:type="dxa"/>
              <w:right w:w="108" w:type="dxa"/>
            </w:tcMar>
            <w:hideMark/>
          </w:tcPr>
          <w:p w14:paraId="73FCFBC5" w14:textId="77777777" w:rsidR="008F2842" w:rsidRPr="0077073D" w:rsidRDefault="008F2842" w:rsidP="00C6061D">
            <w:pPr>
              <w:spacing w:after="0" w:line="235" w:lineRule="atLeast"/>
              <w:rPr>
                <w:rFonts w:ascii="Arial" w:eastAsia="Times New Roman" w:hAnsi="Arial" w:cs="Arial"/>
                <w:b/>
                <w:bCs/>
                <w:sz w:val="20"/>
                <w:szCs w:val="20"/>
                <w:lang w:eastAsia="en-GB"/>
              </w:rPr>
            </w:pPr>
          </w:p>
        </w:tc>
        <w:tc>
          <w:tcPr>
            <w:tcW w:w="2693" w:type="dxa"/>
            <w:tcMar>
              <w:top w:w="0" w:type="dxa"/>
              <w:left w:w="108" w:type="dxa"/>
              <w:bottom w:w="0" w:type="dxa"/>
              <w:right w:w="108" w:type="dxa"/>
            </w:tcMar>
            <w:hideMark/>
          </w:tcPr>
          <w:p w14:paraId="4B53AABA" w14:textId="77777777" w:rsidR="008F2842" w:rsidRPr="0077073D" w:rsidRDefault="008F2842" w:rsidP="00C6061D">
            <w:pPr>
              <w:spacing w:after="0" w:line="235" w:lineRule="atLeast"/>
              <w:rPr>
                <w:rFonts w:ascii="Arial" w:eastAsia="Times New Roman" w:hAnsi="Arial" w:cs="Arial"/>
                <w:b/>
                <w:bCs/>
                <w:sz w:val="20"/>
                <w:szCs w:val="20"/>
                <w:lang w:eastAsia="en-GB"/>
              </w:rPr>
            </w:pPr>
          </w:p>
        </w:tc>
      </w:tr>
      <w:tr w:rsidR="008F2842" w:rsidRPr="0077073D" w14:paraId="169ACD4B" w14:textId="77777777" w:rsidTr="00BC6297">
        <w:tc>
          <w:tcPr>
            <w:tcW w:w="7049" w:type="dxa"/>
            <w:tcMar>
              <w:top w:w="0" w:type="dxa"/>
              <w:left w:w="108" w:type="dxa"/>
              <w:bottom w:w="0" w:type="dxa"/>
              <w:right w:w="108" w:type="dxa"/>
            </w:tcMar>
            <w:hideMark/>
          </w:tcPr>
          <w:p w14:paraId="46255F12" w14:textId="77777777" w:rsidR="008F2842" w:rsidRPr="0077073D" w:rsidRDefault="008F2842" w:rsidP="00C6061D">
            <w:pPr>
              <w:spacing w:after="0" w:line="235" w:lineRule="atLeast"/>
              <w:rPr>
                <w:rFonts w:ascii="Arial" w:eastAsia="Times New Roman" w:hAnsi="Arial" w:cs="Arial"/>
                <w:b/>
                <w:bCs/>
                <w:sz w:val="20"/>
                <w:szCs w:val="20"/>
                <w:lang w:eastAsia="en-GB"/>
              </w:rPr>
            </w:pPr>
          </w:p>
          <w:p w14:paraId="22BD1A2B" w14:textId="77777777" w:rsidR="008F2842" w:rsidRPr="0077073D" w:rsidRDefault="008F2842" w:rsidP="00C6061D">
            <w:pPr>
              <w:spacing w:after="0" w:line="235" w:lineRule="atLeast"/>
              <w:rPr>
                <w:rFonts w:ascii="Arial" w:eastAsia="Times New Roman" w:hAnsi="Arial" w:cs="Arial"/>
                <w:b/>
                <w:bCs/>
                <w:sz w:val="20"/>
                <w:szCs w:val="20"/>
                <w:lang w:eastAsia="en-GB"/>
              </w:rPr>
            </w:pPr>
            <w:r w:rsidRPr="0077073D">
              <w:rPr>
                <w:rFonts w:ascii="Arial" w:eastAsia="Times New Roman" w:hAnsi="Arial" w:cs="Arial"/>
                <w:b/>
                <w:bCs/>
                <w:sz w:val="20"/>
                <w:szCs w:val="20"/>
                <w:lang w:eastAsia="en-GB"/>
              </w:rPr>
              <w:t>Marlowe plc</w:t>
            </w:r>
          </w:p>
        </w:tc>
        <w:tc>
          <w:tcPr>
            <w:tcW w:w="2693" w:type="dxa"/>
            <w:tcMar>
              <w:top w:w="0" w:type="dxa"/>
              <w:left w:w="108" w:type="dxa"/>
              <w:bottom w:w="0" w:type="dxa"/>
              <w:right w:w="108" w:type="dxa"/>
            </w:tcMar>
            <w:hideMark/>
          </w:tcPr>
          <w:p w14:paraId="4BA1BB49" w14:textId="77777777" w:rsidR="008F2842" w:rsidRPr="0077073D" w:rsidRDefault="008F2842" w:rsidP="00C6061D">
            <w:pPr>
              <w:spacing w:after="0" w:line="235" w:lineRule="atLeast"/>
              <w:rPr>
                <w:rFonts w:ascii="Arial" w:eastAsia="Times New Roman" w:hAnsi="Arial" w:cs="Arial"/>
                <w:sz w:val="20"/>
                <w:szCs w:val="20"/>
                <w:lang w:eastAsia="en-GB"/>
              </w:rPr>
            </w:pPr>
          </w:p>
        </w:tc>
      </w:tr>
      <w:tr w:rsidR="008F2842" w:rsidRPr="0077073D" w14:paraId="4F25BCA1" w14:textId="77777777" w:rsidTr="00BC6297">
        <w:trPr>
          <w:trHeight w:val="850"/>
        </w:trPr>
        <w:tc>
          <w:tcPr>
            <w:tcW w:w="7049" w:type="dxa"/>
            <w:tcMar>
              <w:top w:w="0" w:type="dxa"/>
              <w:left w:w="108" w:type="dxa"/>
              <w:bottom w:w="0" w:type="dxa"/>
              <w:right w:w="108" w:type="dxa"/>
            </w:tcMar>
            <w:hideMark/>
          </w:tcPr>
          <w:p w14:paraId="4BC26DB1" w14:textId="62FFEEFF" w:rsidR="008F2842" w:rsidRPr="0077073D" w:rsidRDefault="00A51481" w:rsidP="00C6061D">
            <w:pPr>
              <w:spacing w:after="0" w:line="235" w:lineRule="atLeast"/>
              <w:rPr>
                <w:rFonts w:ascii="Arial" w:eastAsia="Times New Roman" w:hAnsi="Arial" w:cs="Arial"/>
                <w:sz w:val="20"/>
                <w:szCs w:val="20"/>
                <w:lang w:eastAsia="en-GB"/>
              </w:rPr>
            </w:pPr>
            <w:r>
              <w:rPr>
                <w:rFonts w:ascii="Arial" w:eastAsia="Times New Roman" w:hAnsi="Arial" w:cs="Arial"/>
                <w:sz w:val="20"/>
                <w:szCs w:val="20"/>
                <w:lang w:eastAsia="en-GB"/>
              </w:rPr>
              <w:t>Lord Ashcroft</w:t>
            </w:r>
            <w:r w:rsidR="008F2842" w:rsidRPr="0077073D">
              <w:rPr>
                <w:rFonts w:ascii="Arial" w:eastAsia="Times New Roman" w:hAnsi="Arial" w:cs="Arial"/>
                <w:sz w:val="20"/>
                <w:szCs w:val="20"/>
                <w:lang w:eastAsia="en-GB"/>
              </w:rPr>
              <w:t xml:space="preserve">, </w:t>
            </w:r>
            <w:r>
              <w:rPr>
                <w:rFonts w:ascii="Arial" w:eastAsia="Times New Roman" w:hAnsi="Arial" w:cs="Arial"/>
                <w:sz w:val="20"/>
                <w:szCs w:val="20"/>
                <w:lang w:eastAsia="en-GB"/>
              </w:rPr>
              <w:t>Interim Non-</w:t>
            </w:r>
            <w:r w:rsidR="008F2842" w:rsidRPr="0077073D">
              <w:rPr>
                <w:rFonts w:ascii="Arial" w:eastAsia="Times New Roman" w:hAnsi="Arial" w:cs="Arial"/>
                <w:sz w:val="20"/>
                <w:szCs w:val="20"/>
                <w:lang w:eastAsia="en-GB"/>
              </w:rPr>
              <w:t>Executive</w:t>
            </w:r>
            <w:r w:rsidR="00BC6297">
              <w:rPr>
                <w:rFonts w:ascii="Arial" w:eastAsia="Times New Roman" w:hAnsi="Arial" w:cs="Arial"/>
                <w:sz w:val="20"/>
                <w:szCs w:val="20"/>
                <w:lang w:eastAsia="en-GB"/>
              </w:rPr>
              <w:t xml:space="preserve"> Chair</w:t>
            </w:r>
          </w:p>
          <w:p w14:paraId="7CF70905" w14:textId="77777777" w:rsidR="008F2842" w:rsidRPr="0077073D" w:rsidRDefault="008F2842" w:rsidP="00C6061D">
            <w:pPr>
              <w:spacing w:after="0" w:line="235" w:lineRule="atLeast"/>
              <w:rPr>
                <w:rFonts w:ascii="Arial" w:eastAsia="Times New Roman" w:hAnsi="Arial" w:cs="Arial"/>
                <w:sz w:val="20"/>
                <w:szCs w:val="20"/>
                <w:lang w:eastAsia="en-GB"/>
              </w:rPr>
            </w:pPr>
            <w:r w:rsidRPr="0077073D">
              <w:rPr>
                <w:rFonts w:ascii="Arial" w:eastAsia="Times New Roman" w:hAnsi="Arial" w:cs="Arial"/>
                <w:sz w:val="20"/>
                <w:szCs w:val="20"/>
                <w:lang w:eastAsia="en-GB"/>
              </w:rPr>
              <w:t>Adam Councell, Chief Financial Officer</w:t>
            </w:r>
          </w:p>
          <w:p w14:paraId="2C221056" w14:textId="1536B48A" w:rsidR="00BC6297" w:rsidRPr="0077073D" w:rsidRDefault="00F632D4" w:rsidP="00C6061D">
            <w:pPr>
              <w:spacing w:after="0" w:line="235" w:lineRule="atLeast"/>
              <w:rPr>
                <w:rFonts w:ascii="Arial" w:eastAsia="Times New Roman" w:hAnsi="Arial" w:cs="Arial"/>
                <w:sz w:val="20"/>
                <w:szCs w:val="20"/>
                <w:lang w:eastAsia="en-GB"/>
              </w:rPr>
            </w:pPr>
            <w:r w:rsidRPr="0077073D">
              <w:rPr>
                <w:rFonts w:ascii="Arial" w:eastAsia="Times New Roman" w:hAnsi="Arial" w:cs="Arial"/>
                <w:sz w:val="20"/>
                <w:szCs w:val="20"/>
                <w:lang w:eastAsia="en-GB"/>
              </w:rPr>
              <w:t xml:space="preserve">Benjamin Tucker, </w:t>
            </w:r>
            <w:r w:rsidR="00BC6297">
              <w:rPr>
                <w:rFonts w:ascii="Arial" w:eastAsia="Times New Roman" w:hAnsi="Arial" w:cs="Arial"/>
                <w:sz w:val="20"/>
                <w:szCs w:val="20"/>
                <w:lang w:eastAsia="en-GB"/>
              </w:rPr>
              <w:t xml:space="preserve">Head of </w:t>
            </w:r>
            <w:r w:rsidRPr="0077073D">
              <w:rPr>
                <w:rFonts w:ascii="Arial" w:eastAsia="Times New Roman" w:hAnsi="Arial" w:cs="Arial"/>
                <w:sz w:val="20"/>
                <w:szCs w:val="20"/>
                <w:lang w:eastAsia="en-GB"/>
              </w:rPr>
              <w:t xml:space="preserve">Investor Relations </w:t>
            </w:r>
            <w:r w:rsidR="00BC6297">
              <w:rPr>
                <w:rFonts w:ascii="Arial" w:eastAsia="Times New Roman" w:hAnsi="Arial" w:cs="Arial"/>
                <w:sz w:val="20"/>
                <w:szCs w:val="20"/>
                <w:lang w:eastAsia="en-GB"/>
              </w:rPr>
              <w:t>&amp; Strategy</w:t>
            </w:r>
          </w:p>
        </w:tc>
        <w:tc>
          <w:tcPr>
            <w:tcW w:w="2693" w:type="dxa"/>
            <w:tcMar>
              <w:top w:w="0" w:type="dxa"/>
              <w:left w:w="108" w:type="dxa"/>
              <w:bottom w:w="0" w:type="dxa"/>
              <w:right w:w="108" w:type="dxa"/>
            </w:tcMar>
            <w:hideMark/>
          </w:tcPr>
          <w:p w14:paraId="31D96F1C" w14:textId="4F77ED0D" w:rsidR="008F2842" w:rsidRPr="0077073D" w:rsidRDefault="008F2842" w:rsidP="00C6061D">
            <w:pPr>
              <w:spacing w:after="0" w:line="235" w:lineRule="atLeast"/>
              <w:rPr>
                <w:rFonts w:ascii="Arial" w:eastAsia="Times New Roman" w:hAnsi="Arial" w:cs="Arial"/>
                <w:sz w:val="20"/>
                <w:szCs w:val="20"/>
                <w:lang w:eastAsia="en-GB"/>
              </w:rPr>
            </w:pPr>
            <w:r w:rsidRPr="0077073D">
              <w:rPr>
                <w:rFonts w:ascii="Arial" w:eastAsia="Times New Roman" w:hAnsi="Arial" w:cs="Arial"/>
                <w:sz w:val="20"/>
                <w:szCs w:val="20"/>
                <w:lang w:eastAsia="en-GB"/>
              </w:rPr>
              <w:t>www.marlowe</w:t>
            </w:r>
            <w:r w:rsidR="009B41CD" w:rsidRPr="0077073D">
              <w:rPr>
                <w:rFonts w:ascii="Arial" w:eastAsia="Times New Roman" w:hAnsi="Arial" w:cs="Arial"/>
                <w:sz w:val="20"/>
                <w:szCs w:val="20"/>
                <w:lang w:eastAsia="en-GB"/>
              </w:rPr>
              <w:t>plc</w:t>
            </w:r>
            <w:r w:rsidRPr="0077073D">
              <w:rPr>
                <w:rFonts w:ascii="Arial" w:eastAsia="Times New Roman" w:hAnsi="Arial" w:cs="Arial"/>
                <w:sz w:val="20"/>
                <w:szCs w:val="20"/>
                <w:lang w:eastAsia="en-GB"/>
              </w:rPr>
              <w:t>.com</w:t>
            </w:r>
          </w:p>
          <w:p w14:paraId="7D886407" w14:textId="77777777" w:rsidR="008F2842" w:rsidRPr="00811359" w:rsidRDefault="008F2842" w:rsidP="00C6061D">
            <w:pPr>
              <w:spacing w:after="0" w:line="235" w:lineRule="atLeast"/>
              <w:rPr>
                <w:rFonts w:ascii="Arial" w:hAnsi="Arial" w:cs="Arial"/>
                <w:sz w:val="20"/>
                <w:szCs w:val="20"/>
              </w:rPr>
            </w:pPr>
            <w:r w:rsidRPr="0077073D">
              <w:rPr>
                <w:rFonts w:ascii="Arial" w:eastAsia="Times New Roman" w:hAnsi="Arial" w:cs="Arial"/>
                <w:sz w:val="20"/>
                <w:szCs w:val="20"/>
                <w:lang w:eastAsia="en-GB"/>
              </w:rPr>
              <w:t>0203 813 8498</w:t>
            </w:r>
          </w:p>
          <w:p w14:paraId="62B713FA" w14:textId="5BD7685C" w:rsidR="008F2842" w:rsidRPr="0077073D" w:rsidRDefault="00000000" w:rsidP="00C6061D">
            <w:pPr>
              <w:spacing w:after="0" w:line="235" w:lineRule="atLeast"/>
              <w:rPr>
                <w:rFonts w:ascii="Arial" w:eastAsia="Times New Roman" w:hAnsi="Arial" w:cs="Arial"/>
                <w:color w:val="0000FF"/>
                <w:sz w:val="20"/>
                <w:szCs w:val="20"/>
                <w:u w:val="single"/>
                <w:lang w:eastAsia="en-GB"/>
              </w:rPr>
            </w:pPr>
            <w:hyperlink r:id="rId11" w:history="1">
              <w:r w:rsidR="00B826A5" w:rsidRPr="0077073D">
                <w:rPr>
                  <w:rStyle w:val="Hyperlink"/>
                  <w:rFonts w:ascii="Arial" w:eastAsia="Times New Roman" w:hAnsi="Arial" w:cs="Arial"/>
                  <w:sz w:val="20"/>
                  <w:szCs w:val="20"/>
                  <w:lang w:eastAsia="en-GB"/>
                </w:rPr>
                <w:t>IR@marloweplc.com</w:t>
              </w:r>
            </w:hyperlink>
          </w:p>
          <w:p w14:paraId="24864C31" w14:textId="77777777" w:rsidR="008F2842" w:rsidRPr="0077073D" w:rsidRDefault="008F2842" w:rsidP="00C6061D">
            <w:pPr>
              <w:spacing w:after="0" w:line="235" w:lineRule="atLeast"/>
              <w:rPr>
                <w:rFonts w:ascii="Arial" w:eastAsia="Times New Roman" w:hAnsi="Arial" w:cs="Arial"/>
                <w:sz w:val="20"/>
                <w:szCs w:val="20"/>
                <w:lang w:eastAsia="en-GB"/>
              </w:rPr>
            </w:pPr>
          </w:p>
        </w:tc>
      </w:tr>
      <w:tr w:rsidR="00BC6297" w:rsidRPr="0077073D" w14:paraId="06FF9AAF" w14:textId="77777777" w:rsidTr="00BC6297">
        <w:trPr>
          <w:trHeight w:val="227"/>
        </w:trPr>
        <w:tc>
          <w:tcPr>
            <w:tcW w:w="9742" w:type="dxa"/>
            <w:gridSpan w:val="2"/>
            <w:tcMar>
              <w:top w:w="0" w:type="dxa"/>
              <w:left w:w="108" w:type="dxa"/>
              <w:bottom w:w="0" w:type="dxa"/>
              <w:right w:w="108" w:type="dxa"/>
            </w:tcMar>
            <w:hideMark/>
          </w:tcPr>
          <w:p w14:paraId="79B745D9" w14:textId="7703C310" w:rsidR="00BC6297" w:rsidRPr="0077073D" w:rsidRDefault="00BC6297" w:rsidP="00C6061D">
            <w:pPr>
              <w:spacing w:after="0" w:line="235" w:lineRule="atLeast"/>
              <w:rPr>
                <w:rFonts w:ascii="Arial" w:eastAsia="Times New Roman" w:hAnsi="Arial" w:cs="Arial"/>
                <w:sz w:val="20"/>
                <w:szCs w:val="20"/>
                <w:lang w:eastAsia="en-GB"/>
              </w:rPr>
            </w:pPr>
            <w:r w:rsidRPr="00BC6297">
              <w:rPr>
                <w:rFonts w:ascii="Arial" w:eastAsia="Times New Roman" w:hAnsi="Arial" w:cs="Arial"/>
                <w:b/>
                <w:bCs/>
                <w:sz w:val="20"/>
                <w:szCs w:val="20"/>
                <w:lang w:eastAsia="en-GB"/>
              </w:rPr>
              <w:t xml:space="preserve">Cavendish Capital Markets Limited </w:t>
            </w:r>
            <w:r w:rsidRPr="0077073D">
              <w:rPr>
                <w:rFonts w:ascii="Arial" w:eastAsia="Times New Roman" w:hAnsi="Arial" w:cs="Arial"/>
                <w:b/>
                <w:bCs/>
                <w:sz w:val="20"/>
                <w:szCs w:val="20"/>
                <w:lang w:eastAsia="en-GB"/>
              </w:rPr>
              <w:t>(Nominated Adviser &amp; Joint Broker)</w:t>
            </w:r>
          </w:p>
        </w:tc>
      </w:tr>
      <w:tr w:rsidR="008F2842" w:rsidRPr="0077073D" w14:paraId="3ACF8B59" w14:textId="77777777" w:rsidTr="00BC6297">
        <w:trPr>
          <w:trHeight w:val="624"/>
        </w:trPr>
        <w:tc>
          <w:tcPr>
            <w:tcW w:w="7049" w:type="dxa"/>
            <w:tcMar>
              <w:top w:w="0" w:type="dxa"/>
              <w:left w:w="108" w:type="dxa"/>
              <w:bottom w:w="0" w:type="dxa"/>
              <w:right w:w="108" w:type="dxa"/>
            </w:tcMar>
            <w:hideMark/>
          </w:tcPr>
          <w:p w14:paraId="5BDE8F71" w14:textId="77777777" w:rsidR="008F2842" w:rsidRPr="0077073D" w:rsidRDefault="008F2842" w:rsidP="00F632D4">
            <w:pPr>
              <w:spacing w:after="0" w:line="235" w:lineRule="atLeast"/>
              <w:rPr>
                <w:rFonts w:ascii="Arial" w:eastAsia="Times New Roman" w:hAnsi="Arial" w:cs="Arial"/>
                <w:sz w:val="20"/>
                <w:szCs w:val="20"/>
                <w:lang w:eastAsia="en-GB"/>
              </w:rPr>
            </w:pPr>
            <w:r w:rsidRPr="0077073D">
              <w:rPr>
                <w:rFonts w:ascii="Arial" w:eastAsia="Times New Roman" w:hAnsi="Arial" w:cs="Arial"/>
                <w:sz w:val="20"/>
                <w:szCs w:val="20"/>
                <w:lang w:eastAsia="en-GB"/>
              </w:rPr>
              <w:t>Ben Jeynes</w:t>
            </w:r>
          </w:p>
          <w:p w14:paraId="683BE420" w14:textId="0092BF5A" w:rsidR="00F632D4" w:rsidRPr="00811359" w:rsidRDefault="00F632D4" w:rsidP="00F632D4">
            <w:pPr>
              <w:spacing w:after="0" w:line="235" w:lineRule="atLeast"/>
              <w:rPr>
                <w:rFonts w:ascii="Arial" w:eastAsia="Times New Roman" w:hAnsi="Arial" w:cs="Arial"/>
                <w:sz w:val="20"/>
                <w:szCs w:val="20"/>
                <w:lang w:eastAsia="en-GB"/>
              </w:rPr>
            </w:pPr>
            <w:r w:rsidRPr="0077073D">
              <w:rPr>
                <w:rFonts w:ascii="Arial" w:eastAsia="Times New Roman" w:hAnsi="Arial" w:cs="Arial"/>
                <w:sz w:val="20"/>
                <w:szCs w:val="20"/>
                <w:lang w:eastAsia="en-GB"/>
              </w:rPr>
              <w:t>George Lawson</w:t>
            </w:r>
          </w:p>
        </w:tc>
        <w:tc>
          <w:tcPr>
            <w:tcW w:w="2693" w:type="dxa"/>
            <w:tcMar>
              <w:top w:w="0" w:type="dxa"/>
              <w:left w:w="108" w:type="dxa"/>
              <w:bottom w:w="0" w:type="dxa"/>
              <w:right w:w="108" w:type="dxa"/>
            </w:tcMar>
            <w:hideMark/>
          </w:tcPr>
          <w:p w14:paraId="5CAB830E" w14:textId="2A1FF933" w:rsidR="008F2842" w:rsidRPr="0077073D" w:rsidRDefault="00BC6297" w:rsidP="00C6061D">
            <w:pPr>
              <w:spacing w:after="0" w:line="235" w:lineRule="atLeast"/>
              <w:rPr>
                <w:rFonts w:ascii="Arial" w:eastAsia="Times New Roman" w:hAnsi="Arial" w:cs="Arial"/>
                <w:sz w:val="20"/>
                <w:szCs w:val="20"/>
                <w:lang w:eastAsia="en-GB"/>
              </w:rPr>
            </w:pPr>
            <w:r>
              <w:rPr>
                <w:rFonts w:ascii="Arial" w:eastAsia="Times New Roman" w:hAnsi="Arial" w:cs="Arial"/>
                <w:color w:val="000000"/>
                <w:sz w:val="20"/>
                <w:szCs w:val="20"/>
                <w:lang w:eastAsia="en-GB"/>
              </w:rPr>
              <w:t>0</w:t>
            </w:r>
            <w:r w:rsidRPr="0050137B">
              <w:rPr>
                <w:rFonts w:ascii="Arial" w:eastAsia="Times New Roman" w:hAnsi="Arial" w:cs="Arial"/>
                <w:color w:val="000000"/>
                <w:sz w:val="20"/>
                <w:szCs w:val="20"/>
                <w:lang w:eastAsia="en-GB"/>
              </w:rPr>
              <w:t xml:space="preserve">207 </w:t>
            </w:r>
            <w:r>
              <w:rPr>
                <w:rFonts w:ascii="Arial" w:eastAsia="Times New Roman" w:hAnsi="Arial" w:cs="Arial"/>
                <w:color w:val="000000"/>
                <w:sz w:val="20"/>
                <w:szCs w:val="20"/>
                <w:lang w:eastAsia="en-GB"/>
              </w:rPr>
              <w:t>220 0500</w:t>
            </w:r>
          </w:p>
        </w:tc>
      </w:tr>
      <w:tr w:rsidR="008F2842" w:rsidRPr="0077073D" w14:paraId="28FD0915" w14:textId="77777777" w:rsidTr="00BC6297">
        <w:tc>
          <w:tcPr>
            <w:tcW w:w="7049" w:type="dxa"/>
            <w:tcMar>
              <w:top w:w="0" w:type="dxa"/>
              <w:left w:w="108" w:type="dxa"/>
              <w:bottom w:w="0" w:type="dxa"/>
              <w:right w:w="108" w:type="dxa"/>
            </w:tcMar>
            <w:hideMark/>
          </w:tcPr>
          <w:p w14:paraId="4721B850" w14:textId="77777777" w:rsidR="008F2842" w:rsidRPr="0077073D" w:rsidRDefault="008F2842" w:rsidP="00C6061D">
            <w:pPr>
              <w:spacing w:after="0" w:line="235" w:lineRule="atLeast"/>
              <w:rPr>
                <w:rFonts w:ascii="Arial" w:eastAsia="Times New Roman" w:hAnsi="Arial" w:cs="Arial"/>
                <w:sz w:val="20"/>
                <w:szCs w:val="20"/>
                <w:lang w:eastAsia="en-GB"/>
              </w:rPr>
            </w:pPr>
          </w:p>
        </w:tc>
        <w:tc>
          <w:tcPr>
            <w:tcW w:w="2693" w:type="dxa"/>
            <w:tcMar>
              <w:top w:w="0" w:type="dxa"/>
              <w:left w:w="108" w:type="dxa"/>
              <w:bottom w:w="0" w:type="dxa"/>
              <w:right w:w="108" w:type="dxa"/>
            </w:tcMar>
            <w:hideMark/>
          </w:tcPr>
          <w:p w14:paraId="73A8ACE0" w14:textId="77777777" w:rsidR="008F2842" w:rsidRPr="0077073D" w:rsidRDefault="008F2842" w:rsidP="00C6061D">
            <w:pPr>
              <w:spacing w:after="0" w:line="235" w:lineRule="atLeast"/>
              <w:rPr>
                <w:rFonts w:ascii="Arial" w:eastAsia="Times New Roman" w:hAnsi="Arial" w:cs="Arial"/>
                <w:sz w:val="20"/>
                <w:szCs w:val="20"/>
                <w:lang w:eastAsia="en-GB"/>
              </w:rPr>
            </w:pPr>
          </w:p>
        </w:tc>
      </w:tr>
      <w:tr w:rsidR="00A05EBF" w:rsidRPr="0077073D" w14:paraId="2D00BF9A" w14:textId="77777777" w:rsidTr="00BC6297">
        <w:trPr>
          <w:trHeight w:val="227"/>
        </w:trPr>
        <w:tc>
          <w:tcPr>
            <w:tcW w:w="7049" w:type="dxa"/>
            <w:tcMar>
              <w:top w:w="0" w:type="dxa"/>
              <w:left w:w="108" w:type="dxa"/>
              <w:bottom w:w="0" w:type="dxa"/>
              <w:right w:w="108" w:type="dxa"/>
            </w:tcMar>
          </w:tcPr>
          <w:p w14:paraId="668B643A" w14:textId="56821162" w:rsidR="00A05EBF" w:rsidRPr="0077073D" w:rsidDel="004F7879" w:rsidRDefault="009F17DF" w:rsidP="00C6061D">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Investec</w:t>
            </w:r>
            <w:r w:rsidR="00A05EBF" w:rsidRPr="0077073D">
              <w:rPr>
                <w:rFonts w:ascii="Arial" w:eastAsia="Times New Roman" w:hAnsi="Arial" w:cs="Arial"/>
                <w:b/>
                <w:bCs/>
                <w:sz w:val="20"/>
                <w:szCs w:val="20"/>
                <w:lang w:eastAsia="en-GB"/>
              </w:rPr>
              <w:t xml:space="preserve"> </w:t>
            </w:r>
            <w:r w:rsidR="00BC6297">
              <w:rPr>
                <w:rFonts w:ascii="Arial" w:eastAsia="Times New Roman" w:hAnsi="Arial" w:cs="Arial"/>
                <w:b/>
                <w:bCs/>
                <w:sz w:val="20"/>
                <w:szCs w:val="20"/>
                <w:lang w:eastAsia="en-GB"/>
              </w:rPr>
              <w:t xml:space="preserve">Bank </w:t>
            </w:r>
            <w:r w:rsidR="00A05EBF" w:rsidRPr="0077073D">
              <w:rPr>
                <w:rFonts w:ascii="Arial" w:eastAsia="Times New Roman" w:hAnsi="Arial" w:cs="Arial"/>
                <w:b/>
                <w:bCs/>
                <w:sz w:val="20"/>
                <w:szCs w:val="20"/>
                <w:lang w:eastAsia="en-GB"/>
              </w:rPr>
              <w:t>(Joint Broker)</w:t>
            </w:r>
          </w:p>
        </w:tc>
        <w:tc>
          <w:tcPr>
            <w:tcW w:w="2693" w:type="dxa"/>
            <w:tcMar>
              <w:top w:w="0" w:type="dxa"/>
              <w:left w:w="108" w:type="dxa"/>
              <w:bottom w:w="0" w:type="dxa"/>
              <w:right w:w="108" w:type="dxa"/>
            </w:tcMar>
          </w:tcPr>
          <w:p w14:paraId="0C90E07C" w14:textId="294B66C5" w:rsidR="00A05EBF" w:rsidRPr="0077073D" w:rsidDel="004F7879" w:rsidRDefault="00A05EBF" w:rsidP="00C6061D">
            <w:pPr>
              <w:spacing w:after="0" w:line="235" w:lineRule="atLeast"/>
              <w:rPr>
                <w:rFonts w:ascii="Arial" w:eastAsia="Times New Roman" w:hAnsi="Arial" w:cs="Arial"/>
                <w:sz w:val="20"/>
                <w:szCs w:val="20"/>
                <w:lang w:eastAsia="en-GB"/>
              </w:rPr>
            </w:pPr>
          </w:p>
        </w:tc>
      </w:tr>
      <w:tr w:rsidR="00A05EBF" w:rsidRPr="0077073D" w14:paraId="71D8D4E2" w14:textId="77777777" w:rsidTr="00BC6297">
        <w:trPr>
          <w:trHeight w:val="624"/>
        </w:trPr>
        <w:tc>
          <w:tcPr>
            <w:tcW w:w="7049" w:type="dxa"/>
            <w:tcMar>
              <w:top w:w="0" w:type="dxa"/>
              <w:left w:w="108" w:type="dxa"/>
              <w:bottom w:w="0" w:type="dxa"/>
              <w:right w:w="108" w:type="dxa"/>
            </w:tcMar>
          </w:tcPr>
          <w:p w14:paraId="5327C266" w14:textId="77777777" w:rsidR="00A05EBF" w:rsidRDefault="00BC6297" w:rsidP="00A05EB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Henry Reast</w:t>
            </w:r>
          </w:p>
          <w:p w14:paraId="491A83F0" w14:textId="4C0FFAC9" w:rsidR="00BC6297" w:rsidRPr="00BC6297" w:rsidDel="004F7879" w:rsidRDefault="00BC6297" w:rsidP="00A05EBF">
            <w:pPr>
              <w:spacing w:after="0" w:line="240" w:lineRule="auto"/>
              <w:rPr>
                <w:rFonts w:ascii="Arial" w:eastAsia="Times New Roman" w:hAnsi="Arial" w:cs="Arial"/>
                <w:sz w:val="20"/>
                <w:szCs w:val="20"/>
                <w:lang w:eastAsia="en-GB"/>
              </w:rPr>
            </w:pPr>
            <w:r w:rsidRPr="00BC6297">
              <w:rPr>
                <w:rFonts w:ascii="Arial" w:eastAsia="Times New Roman" w:hAnsi="Arial" w:cs="Arial"/>
                <w:sz w:val="20"/>
                <w:szCs w:val="20"/>
                <w:lang w:eastAsia="en-GB"/>
              </w:rPr>
              <w:t>Oliver Cardigan</w:t>
            </w:r>
          </w:p>
        </w:tc>
        <w:tc>
          <w:tcPr>
            <w:tcW w:w="2693" w:type="dxa"/>
            <w:tcMar>
              <w:top w:w="0" w:type="dxa"/>
              <w:left w:w="108" w:type="dxa"/>
              <w:bottom w:w="0" w:type="dxa"/>
              <w:right w:w="108" w:type="dxa"/>
            </w:tcMar>
          </w:tcPr>
          <w:p w14:paraId="19447212" w14:textId="0FFD513D" w:rsidR="00A05EBF" w:rsidRPr="0077073D" w:rsidDel="004F7879" w:rsidRDefault="00BC6297" w:rsidP="00C6061D">
            <w:pPr>
              <w:spacing w:after="0" w:line="235" w:lineRule="atLeast"/>
              <w:rPr>
                <w:rFonts w:ascii="Arial" w:eastAsia="Times New Roman" w:hAnsi="Arial" w:cs="Arial"/>
                <w:sz w:val="20"/>
                <w:szCs w:val="20"/>
                <w:lang w:eastAsia="en-GB"/>
              </w:rPr>
            </w:pPr>
            <w:r>
              <w:rPr>
                <w:rFonts w:ascii="Arial" w:eastAsia="Times New Roman" w:hAnsi="Arial" w:cs="Arial"/>
                <w:color w:val="000000"/>
                <w:sz w:val="20"/>
                <w:szCs w:val="20"/>
                <w:lang w:eastAsia="en-GB"/>
              </w:rPr>
              <w:t>0</w:t>
            </w:r>
            <w:r w:rsidRPr="0050137B">
              <w:rPr>
                <w:rFonts w:ascii="Arial" w:eastAsia="Times New Roman" w:hAnsi="Arial" w:cs="Arial"/>
                <w:color w:val="000000"/>
                <w:sz w:val="20"/>
                <w:szCs w:val="20"/>
                <w:lang w:eastAsia="en-GB"/>
              </w:rPr>
              <w:t>207 597 5970</w:t>
            </w:r>
          </w:p>
        </w:tc>
      </w:tr>
      <w:tr w:rsidR="008F2842" w:rsidRPr="0077073D" w14:paraId="0CA5227D" w14:textId="77777777" w:rsidTr="00BC6297">
        <w:tc>
          <w:tcPr>
            <w:tcW w:w="7049" w:type="dxa"/>
            <w:tcMar>
              <w:top w:w="0" w:type="dxa"/>
              <w:left w:w="108" w:type="dxa"/>
              <w:bottom w:w="0" w:type="dxa"/>
              <w:right w:w="108" w:type="dxa"/>
            </w:tcMar>
          </w:tcPr>
          <w:p w14:paraId="1D684840" w14:textId="77777777" w:rsidR="008F2842" w:rsidRPr="0077073D" w:rsidRDefault="008F2842" w:rsidP="00C6061D">
            <w:pPr>
              <w:spacing w:after="0" w:line="240" w:lineRule="auto"/>
              <w:rPr>
                <w:rFonts w:ascii="Arial" w:eastAsia="Times New Roman" w:hAnsi="Arial" w:cs="Arial"/>
                <w:b/>
                <w:bCs/>
                <w:sz w:val="20"/>
                <w:szCs w:val="20"/>
                <w:lang w:eastAsia="en-GB"/>
              </w:rPr>
            </w:pPr>
            <w:r w:rsidRPr="0077073D">
              <w:rPr>
                <w:rFonts w:ascii="Arial" w:eastAsia="Times New Roman" w:hAnsi="Arial" w:cs="Arial"/>
                <w:b/>
                <w:bCs/>
                <w:sz w:val="20"/>
                <w:szCs w:val="20"/>
                <w:lang w:eastAsia="en-GB"/>
              </w:rPr>
              <w:t>FTI Consulting</w:t>
            </w:r>
          </w:p>
        </w:tc>
        <w:tc>
          <w:tcPr>
            <w:tcW w:w="2693" w:type="dxa"/>
            <w:tcMar>
              <w:top w:w="0" w:type="dxa"/>
              <w:left w:w="108" w:type="dxa"/>
              <w:bottom w:w="0" w:type="dxa"/>
              <w:right w:w="108" w:type="dxa"/>
            </w:tcMar>
          </w:tcPr>
          <w:p w14:paraId="44A86E88" w14:textId="77777777" w:rsidR="008F2842" w:rsidRPr="0077073D" w:rsidRDefault="008F2842" w:rsidP="00C6061D">
            <w:pPr>
              <w:spacing w:after="0" w:line="235" w:lineRule="atLeast"/>
              <w:rPr>
                <w:rFonts w:ascii="Arial" w:eastAsia="Times New Roman" w:hAnsi="Arial" w:cs="Arial"/>
                <w:sz w:val="20"/>
                <w:szCs w:val="20"/>
                <w:lang w:eastAsia="en-GB"/>
              </w:rPr>
            </w:pPr>
            <w:r w:rsidRPr="0077073D">
              <w:rPr>
                <w:rFonts w:ascii="Arial" w:eastAsia="Times New Roman" w:hAnsi="Arial" w:cs="Arial"/>
                <w:sz w:val="20"/>
                <w:szCs w:val="20"/>
                <w:lang w:eastAsia="en-GB"/>
              </w:rPr>
              <w:t>0203 727 1340</w:t>
            </w:r>
          </w:p>
        </w:tc>
      </w:tr>
      <w:tr w:rsidR="008F2842" w:rsidRPr="0077073D" w14:paraId="2513B1E3" w14:textId="77777777" w:rsidTr="00BC6297">
        <w:trPr>
          <w:trHeight w:val="794"/>
        </w:trPr>
        <w:tc>
          <w:tcPr>
            <w:tcW w:w="7049" w:type="dxa"/>
            <w:tcMar>
              <w:top w:w="0" w:type="dxa"/>
              <w:left w:w="108" w:type="dxa"/>
              <w:bottom w:w="0" w:type="dxa"/>
              <w:right w:w="108" w:type="dxa"/>
            </w:tcMar>
            <w:hideMark/>
          </w:tcPr>
          <w:p w14:paraId="6625B2D3" w14:textId="77777777" w:rsidR="008F2842" w:rsidRPr="0077073D" w:rsidRDefault="008F2842" w:rsidP="00C6061D">
            <w:pPr>
              <w:spacing w:after="0" w:line="235" w:lineRule="atLeast"/>
              <w:rPr>
                <w:rFonts w:ascii="Arial" w:eastAsia="Times New Roman" w:hAnsi="Arial" w:cs="Arial"/>
                <w:sz w:val="20"/>
                <w:szCs w:val="20"/>
                <w:lang w:eastAsia="en-GB"/>
              </w:rPr>
            </w:pPr>
            <w:r w:rsidRPr="0077073D">
              <w:rPr>
                <w:rFonts w:ascii="Arial" w:eastAsia="Times New Roman" w:hAnsi="Arial" w:cs="Arial"/>
                <w:sz w:val="20"/>
                <w:szCs w:val="20"/>
                <w:lang w:eastAsia="en-GB"/>
              </w:rPr>
              <w:t>Nick Hasell</w:t>
            </w:r>
          </w:p>
          <w:p w14:paraId="3628C909" w14:textId="258AC853" w:rsidR="00F632D4" w:rsidRPr="0077073D" w:rsidRDefault="00F632D4" w:rsidP="00C6061D">
            <w:pPr>
              <w:spacing w:after="0" w:line="235" w:lineRule="atLeast"/>
              <w:rPr>
                <w:rFonts w:ascii="Arial" w:eastAsia="Times New Roman" w:hAnsi="Arial" w:cs="Arial"/>
                <w:sz w:val="20"/>
                <w:szCs w:val="20"/>
                <w:lang w:eastAsia="en-GB"/>
              </w:rPr>
            </w:pPr>
            <w:r w:rsidRPr="0077073D">
              <w:rPr>
                <w:rFonts w:ascii="Arial" w:eastAsia="Times New Roman" w:hAnsi="Arial" w:cs="Arial"/>
                <w:sz w:val="20"/>
                <w:szCs w:val="20"/>
                <w:lang w:eastAsia="en-GB"/>
              </w:rPr>
              <w:t>Alex Le May</w:t>
            </w:r>
          </w:p>
        </w:tc>
        <w:tc>
          <w:tcPr>
            <w:tcW w:w="2693" w:type="dxa"/>
            <w:tcMar>
              <w:top w:w="0" w:type="dxa"/>
              <w:left w:w="108" w:type="dxa"/>
              <w:bottom w:w="0" w:type="dxa"/>
              <w:right w:w="108" w:type="dxa"/>
            </w:tcMar>
            <w:hideMark/>
          </w:tcPr>
          <w:p w14:paraId="55B53DE1" w14:textId="77777777" w:rsidR="008F2842" w:rsidRPr="0077073D" w:rsidRDefault="008F2842" w:rsidP="00C6061D">
            <w:pPr>
              <w:spacing w:after="0" w:line="235" w:lineRule="atLeast"/>
              <w:rPr>
                <w:rFonts w:ascii="Arial" w:eastAsia="Times New Roman" w:hAnsi="Arial" w:cs="Arial"/>
                <w:sz w:val="20"/>
                <w:szCs w:val="20"/>
                <w:lang w:eastAsia="en-GB"/>
              </w:rPr>
            </w:pPr>
          </w:p>
        </w:tc>
      </w:tr>
    </w:tbl>
    <w:p w14:paraId="506A5566" w14:textId="77777777" w:rsidR="00660F47" w:rsidRPr="00811359" w:rsidRDefault="00660F47" w:rsidP="003614D4">
      <w:pPr>
        <w:spacing w:after="0" w:line="235" w:lineRule="atLeast"/>
        <w:rPr>
          <w:rFonts w:ascii="Arial" w:hAnsi="Arial" w:cs="Arial"/>
          <w:b/>
          <w:bCs/>
          <w:color w:val="000000"/>
          <w:sz w:val="20"/>
          <w:szCs w:val="20"/>
        </w:rPr>
      </w:pPr>
      <w:bookmarkStart w:id="3" w:name="_Hlk101535755"/>
      <w:bookmarkStart w:id="4" w:name="_Hlk104814306"/>
      <w:bookmarkEnd w:id="1"/>
      <w:bookmarkEnd w:id="2"/>
    </w:p>
    <w:p w14:paraId="307BD4E2" w14:textId="77777777" w:rsidR="00CE7B2B" w:rsidRDefault="00CE7B2B" w:rsidP="003614D4">
      <w:pPr>
        <w:spacing w:after="0" w:line="235" w:lineRule="atLeast"/>
        <w:rPr>
          <w:rFonts w:ascii="Arial" w:hAnsi="Arial" w:cs="Arial"/>
          <w:b/>
          <w:bCs/>
          <w:color w:val="000000"/>
          <w:sz w:val="20"/>
          <w:szCs w:val="20"/>
        </w:rPr>
      </w:pPr>
      <w:bookmarkStart w:id="5" w:name="_Hlk172056995"/>
    </w:p>
    <w:p w14:paraId="3923270B" w14:textId="77777777" w:rsidR="00CE7B2B" w:rsidRDefault="00CE7B2B" w:rsidP="003614D4">
      <w:pPr>
        <w:spacing w:after="0" w:line="235" w:lineRule="atLeast"/>
        <w:rPr>
          <w:rFonts w:ascii="Arial" w:hAnsi="Arial" w:cs="Arial"/>
          <w:b/>
          <w:bCs/>
          <w:color w:val="000000"/>
          <w:sz w:val="20"/>
          <w:szCs w:val="20"/>
        </w:rPr>
      </w:pPr>
    </w:p>
    <w:p w14:paraId="1F49AF93" w14:textId="43BF26ED" w:rsidR="003614D4" w:rsidRPr="0077073D" w:rsidRDefault="008C3DE3" w:rsidP="003614D4">
      <w:pPr>
        <w:spacing w:after="0" w:line="235" w:lineRule="atLeast"/>
        <w:rPr>
          <w:rFonts w:ascii="Arial" w:eastAsia="Times New Roman" w:hAnsi="Arial" w:cs="Arial"/>
          <w:color w:val="000000"/>
          <w:sz w:val="20"/>
          <w:szCs w:val="20"/>
          <w:lang w:eastAsia="en-GB"/>
        </w:rPr>
      </w:pPr>
      <w:r>
        <w:rPr>
          <w:rFonts w:ascii="Arial" w:hAnsi="Arial" w:cs="Arial"/>
          <w:b/>
          <w:bCs/>
          <w:color w:val="000000"/>
          <w:sz w:val="20"/>
          <w:szCs w:val="20"/>
        </w:rPr>
        <w:lastRenderedPageBreak/>
        <w:t>BUSINESS</w:t>
      </w:r>
      <w:r w:rsidR="00732E9D">
        <w:rPr>
          <w:rFonts w:ascii="Arial" w:hAnsi="Arial" w:cs="Arial"/>
          <w:b/>
          <w:bCs/>
          <w:color w:val="000000"/>
          <w:sz w:val="20"/>
          <w:szCs w:val="20"/>
        </w:rPr>
        <w:t xml:space="preserve"> </w:t>
      </w:r>
      <w:r w:rsidR="003614D4" w:rsidRPr="00811359">
        <w:rPr>
          <w:rFonts w:ascii="Arial" w:hAnsi="Arial" w:cs="Arial"/>
          <w:b/>
          <w:bCs/>
          <w:color w:val="000000"/>
          <w:sz w:val="20"/>
          <w:szCs w:val="20"/>
        </w:rPr>
        <w:t>REVIEW</w:t>
      </w:r>
    </w:p>
    <w:bookmarkEnd w:id="5"/>
    <w:p w14:paraId="68E14D6D" w14:textId="77777777" w:rsidR="003614D4" w:rsidRPr="0077073D" w:rsidRDefault="003614D4" w:rsidP="003614D4">
      <w:pPr>
        <w:spacing w:after="0" w:line="240" w:lineRule="auto"/>
        <w:rPr>
          <w:rFonts w:ascii="Arial" w:eastAsia="Times New Roman" w:hAnsi="Arial" w:cs="Arial"/>
          <w:i/>
          <w:iCs/>
          <w:color w:val="000000"/>
          <w:sz w:val="20"/>
          <w:szCs w:val="20"/>
          <w:lang w:eastAsia="en-GB"/>
        </w:rPr>
      </w:pPr>
    </w:p>
    <w:p w14:paraId="10AAF64B" w14:textId="4C92956E" w:rsidR="00EC4BAE" w:rsidRDefault="00C9489E" w:rsidP="00255234">
      <w:pPr>
        <w:jc w:val="both"/>
        <w:rPr>
          <w:rFonts w:ascii="Arial" w:hAnsi="Arial" w:cs="Arial"/>
          <w:sz w:val="20"/>
          <w:szCs w:val="20"/>
        </w:rPr>
      </w:pPr>
      <w:r>
        <w:rPr>
          <w:rFonts w:ascii="Arial" w:hAnsi="Arial" w:cs="Arial"/>
          <w:sz w:val="20"/>
          <w:szCs w:val="20"/>
        </w:rPr>
        <w:t>This ha</w:t>
      </w:r>
      <w:r w:rsidR="003A6BBD">
        <w:rPr>
          <w:rFonts w:ascii="Arial" w:hAnsi="Arial" w:cs="Arial"/>
          <w:sz w:val="20"/>
          <w:szCs w:val="20"/>
        </w:rPr>
        <w:t>s</w:t>
      </w:r>
      <w:r>
        <w:rPr>
          <w:rFonts w:ascii="Arial" w:hAnsi="Arial" w:cs="Arial"/>
          <w:sz w:val="20"/>
          <w:szCs w:val="20"/>
        </w:rPr>
        <w:t xml:space="preserve"> been a </w:t>
      </w:r>
      <w:r w:rsidR="00EC4BAE">
        <w:rPr>
          <w:rFonts w:ascii="Arial" w:hAnsi="Arial" w:cs="Arial"/>
          <w:sz w:val="20"/>
          <w:szCs w:val="20"/>
        </w:rPr>
        <w:t>pivotal year for Marlowe. In November 2023, we announce</w:t>
      </w:r>
      <w:r w:rsidR="00BE261A">
        <w:rPr>
          <w:rFonts w:ascii="Arial" w:hAnsi="Arial" w:cs="Arial"/>
          <w:sz w:val="20"/>
          <w:szCs w:val="20"/>
        </w:rPr>
        <w:t>d</w:t>
      </w:r>
      <w:r w:rsidR="00DE3D9D">
        <w:rPr>
          <w:rFonts w:ascii="Arial" w:hAnsi="Arial" w:cs="Arial"/>
          <w:sz w:val="20"/>
          <w:szCs w:val="20"/>
        </w:rPr>
        <w:t xml:space="preserve"> </w:t>
      </w:r>
      <w:r w:rsidR="003A6BBD">
        <w:rPr>
          <w:rFonts w:ascii="Arial" w:hAnsi="Arial" w:cs="Arial"/>
          <w:sz w:val="20"/>
          <w:szCs w:val="20"/>
        </w:rPr>
        <w:t xml:space="preserve">a </w:t>
      </w:r>
      <w:r w:rsidR="00EC4BAE">
        <w:rPr>
          <w:rFonts w:ascii="Arial" w:hAnsi="Arial" w:cs="Arial"/>
          <w:sz w:val="20"/>
          <w:szCs w:val="20"/>
        </w:rPr>
        <w:t>review of the Group</w:t>
      </w:r>
      <w:r w:rsidR="00DE3D9D">
        <w:rPr>
          <w:rFonts w:ascii="Arial" w:hAnsi="Arial" w:cs="Arial"/>
          <w:sz w:val="20"/>
          <w:szCs w:val="20"/>
        </w:rPr>
        <w:t xml:space="preserve">’s </w:t>
      </w:r>
      <w:r w:rsidR="0055076E">
        <w:rPr>
          <w:rFonts w:ascii="Arial" w:hAnsi="Arial" w:cs="Arial"/>
          <w:sz w:val="20"/>
          <w:szCs w:val="20"/>
        </w:rPr>
        <w:t>s</w:t>
      </w:r>
      <w:r w:rsidR="00EC4BAE">
        <w:rPr>
          <w:rFonts w:ascii="Arial" w:hAnsi="Arial" w:cs="Arial"/>
          <w:sz w:val="20"/>
          <w:szCs w:val="20"/>
        </w:rPr>
        <w:t>tructure</w:t>
      </w:r>
      <w:r w:rsidR="003A6BBD">
        <w:rPr>
          <w:rFonts w:ascii="Arial" w:hAnsi="Arial" w:cs="Arial"/>
          <w:sz w:val="20"/>
          <w:szCs w:val="20"/>
        </w:rPr>
        <w:t>.</w:t>
      </w:r>
      <w:r w:rsidR="00EC4BAE">
        <w:rPr>
          <w:rFonts w:ascii="Arial" w:hAnsi="Arial" w:cs="Arial"/>
          <w:sz w:val="20"/>
          <w:szCs w:val="20"/>
        </w:rPr>
        <w:t xml:space="preserve"> It had become clear</w:t>
      </w:r>
      <w:r w:rsidR="00B94FA8">
        <w:rPr>
          <w:rFonts w:ascii="Arial" w:hAnsi="Arial" w:cs="Arial"/>
          <w:sz w:val="20"/>
          <w:szCs w:val="20"/>
        </w:rPr>
        <w:t xml:space="preserve"> that as the Group had grown and </w:t>
      </w:r>
      <w:r w:rsidR="009C62DE">
        <w:rPr>
          <w:rFonts w:ascii="Arial" w:hAnsi="Arial" w:cs="Arial"/>
          <w:sz w:val="20"/>
          <w:szCs w:val="20"/>
        </w:rPr>
        <w:t>evolved,</w:t>
      </w:r>
      <w:r w:rsidR="00B94FA8">
        <w:rPr>
          <w:rFonts w:ascii="Arial" w:hAnsi="Arial" w:cs="Arial"/>
          <w:sz w:val="20"/>
          <w:szCs w:val="20"/>
        </w:rPr>
        <w:t xml:space="preserve"> its operational activities had diversified into sectors with varying operational and financial characteristics. </w:t>
      </w:r>
    </w:p>
    <w:p w14:paraId="5DD1AC61" w14:textId="6DC865FC" w:rsidR="00C9489E" w:rsidRDefault="003A6BBD" w:rsidP="00255234">
      <w:pPr>
        <w:jc w:val="both"/>
        <w:rPr>
          <w:rFonts w:ascii="Arial" w:hAnsi="Arial" w:cs="Arial"/>
          <w:sz w:val="20"/>
          <w:szCs w:val="20"/>
        </w:rPr>
      </w:pPr>
      <w:r>
        <w:rPr>
          <w:rFonts w:ascii="Arial" w:hAnsi="Arial" w:cs="Arial"/>
          <w:sz w:val="20"/>
          <w:szCs w:val="20"/>
        </w:rPr>
        <w:t xml:space="preserve">Following </w:t>
      </w:r>
      <w:r w:rsidR="00B94FA8">
        <w:rPr>
          <w:rFonts w:ascii="Arial" w:hAnsi="Arial" w:cs="Arial"/>
          <w:sz w:val="20"/>
          <w:szCs w:val="20"/>
        </w:rPr>
        <w:t xml:space="preserve">the announcement of the strategic review we received an offer for </w:t>
      </w:r>
      <w:proofErr w:type="gramStart"/>
      <w:r w:rsidR="00B94FA8">
        <w:rPr>
          <w:rFonts w:ascii="Arial" w:hAnsi="Arial" w:cs="Arial"/>
          <w:sz w:val="20"/>
          <w:szCs w:val="20"/>
        </w:rPr>
        <w:t>a number of</w:t>
      </w:r>
      <w:proofErr w:type="gramEnd"/>
      <w:r w:rsidR="00B94FA8">
        <w:rPr>
          <w:rFonts w:ascii="Arial" w:hAnsi="Arial" w:cs="Arial"/>
          <w:sz w:val="20"/>
          <w:szCs w:val="20"/>
        </w:rPr>
        <w:t xml:space="preserve"> </w:t>
      </w:r>
      <w:r w:rsidR="005C032B">
        <w:rPr>
          <w:rFonts w:ascii="Arial" w:hAnsi="Arial" w:cs="Arial"/>
          <w:sz w:val="20"/>
          <w:szCs w:val="20"/>
        </w:rPr>
        <w:t xml:space="preserve">our </w:t>
      </w:r>
      <w:r w:rsidR="00B94FA8">
        <w:rPr>
          <w:rFonts w:ascii="Arial" w:hAnsi="Arial" w:cs="Arial"/>
          <w:sz w:val="20"/>
          <w:szCs w:val="20"/>
        </w:rPr>
        <w:t xml:space="preserve">GRC software and service assets. </w:t>
      </w:r>
      <w:r>
        <w:rPr>
          <w:rFonts w:ascii="Arial" w:hAnsi="Arial" w:cs="Arial"/>
          <w:sz w:val="20"/>
          <w:szCs w:val="20"/>
        </w:rPr>
        <w:t xml:space="preserve">Consequently, </w:t>
      </w:r>
      <w:r w:rsidR="00BE261A">
        <w:rPr>
          <w:rFonts w:ascii="Arial" w:hAnsi="Arial" w:cs="Arial"/>
          <w:sz w:val="20"/>
          <w:szCs w:val="20"/>
        </w:rPr>
        <w:t>in</w:t>
      </w:r>
      <w:r w:rsidR="00B94FA8">
        <w:rPr>
          <w:rFonts w:ascii="Arial" w:hAnsi="Arial" w:cs="Arial"/>
          <w:sz w:val="20"/>
          <w:szCs w:val="20"/>
        </w:rPr>
        <w:t xml:space="preserve"> </w:t>
      </w:r>
      <w:r w:rsidR="00EC4BAE">
        <w:rPr>
          <w:rFonts w:ascii="Arial" w:hAnsi="Arial" w:cs="Arial"/>
          <w:sz w:val="20"/>
          <w:szCs w:val="20"/>
        </w:rPr>
        <w:t>February 2024, we announced a binding agreement</w:t>
      </w:r>
      <w:r w:rsidR="00BE261A">
        <w:rPr>
          <w:rFonts w:ascii="Arial" w:hAnsi="Arial" w:cs="Arial"/>
          <w:sz w:val="20"/>
          <w:szCs w:val="20"/>
        </w:rPr>
        <w:t xml:space="preserve"> </w:t>
      </w:r>
      <w:r w:rsidR="00167229">
        <w:rPr>
          <w:rFonts w:ascii="Arial" w:hAnsi="Arial" w:cs="Arial"/>
          <w:sz w:val="20"/>
          <w:szCs w:val="20"/>
        </w:rPr>
        <w:t>for the divestment</w:t>
      </w:r>
      <w:r w:rsidR="00BE261A">
        <w:rPr>
          <w:rFonts w:ascii="Arial" w:hAnsi="Arial" w:cs="Arial"/>
          <w:sz w:val="20"/>
          <w:szCs w:val="20"/>
        </w:rPr>
        <w:t xml:space="preserve"> of </w:t>
      </w:r>
      <w:r>
        <w:rPr>
          <w:rFonts w:ascii="Arial" w:hAnsi="Arial" w:cs="Arial"/>
          <w:sz w:val="20"/>
          <w:szCs w:val="20"/>
        </w:rPr>
        <w:t xml:space="preserve">these assets for an </w:t>
      </w:r>
      <w:r w:rsidR="00BE261A">
        <w:rPr>
          <w:rFonts w:ascii="Arial" w:hAnsi="Arial" w:cs="Arial"/>
          <w:sz w:val="20"/>
          <w:szCs w:val="20"/>
        </w:rPr>
        <w:t>enterprise value</w:t>
      </w:r>
      <w:r w:rsidR="00EC4BAE">
        <w:rPr>
          <w:rFonts w:ascii="Arial" w:hAnsi="Arial" w:cs="Arial"/>
          <w:sz w:val="20"/>
          <w:szCs w:val="20"/>
        </w:rPr>
        <w:t xml:space="preserve"> </w:t>
      </w:r>
      <w:r w:rsidR="00E41506">
        <w:rPr>
          <w:rFonts w:ascii="Arial" w:hAnsi="Arial" w:cs="Arial"/>
          <w:sz w:val="20"/>
          <w:szCs w:val="20"/>
        </w:rPr>
        <w:t xml:space="preserve">of </w:t>
      </w:r>
      <w:r w:rsidR="00EC4BAE">
        <w:rPr>
          <w:rFonts w:ascii="Arial" w:hAnsi="Arial" w:cs="Arial"/>
          <w:sz w:val="20"/>
          <w:szCs w:val="20"/>
        </w:rPr>
        <w:t>£430 million</w:t>
      </w:r>
      <w:r>
        <w:rPr>
          <w:rFonts w:ascii="Arial" w:hAnsi="Arial" w:cs="Arial"/>
          <w:sz w:val="20"/>
          <w:szCs w:val="20"/>
        </w:rPr>
        <w:t xml:space="preserve">, a valuation that </w:t>
      </w:r>
      <w:r w:rsidR="00255234">
        <w:rPr>
          <w:rFonts w:ascii="Arial" w:hAnsi="Arial" w:cs="Arial"/>
          <w:sz w:val="20"/>
          <w:szCs w:val="20"/>
        </w:rPr>
        <w:t xml:space="preserve">represented 121% of Marlowe’s market capitalisation </w:t>
      </w:r>
      <w:r w:rsidR="0055076E">
        <w:rPr>
          <w:rFonts w:ascii="Arial" w:hAnsi="Arial" w:cs="Arial"/>
          <w:sz w:val="20"/>
          <w:szCs w:val="20"/>
        </w:rPr>
        <w:t xml:space="preserve">on the day </w:t>
      </w:r>
      <w:r w:rsidR="00255234">
        <w:rPr>
          <w:rFonts w:ascii="Arial" w:hAnsi="Arial" w:cs="Arial"/>
          <w:sz w:val="20"/>
          <w:szCs w:val="20"/>
        </w:rPr>
        <w:t xml:space="preserve">prior to announcement. </w:t>
      </w:r>
    </w:p>
    <w:p w14:paraId="659F8290" w14:textId="5A5A86A7" w:rsidR="00EF315E" w:rsidRDefault="009C62DE" w:rsidP="00255234">
      <w:pPr>
        <w:jc w:val="both"/>
        <w:rPr>
          <w:rFonts w:ascii="Arial" w:hAnsi="Arial" w:cs="Arial"/>
          <w:sz w:val="20"/>
          <w:szCs w:val="20"/>
        </w:rPr>
      </w:pPr>
      <w:r>
        <w:rPr>
          <w:rFonts w:ascii="Arial" w:hAnsi="Arial" w:cs="Arial"/>
          <w:sz w:val="20"/>
          <w:szCs w:val="20"/>
        </w:rPr>
        <w:t xml:space="preserve">The </w:t>
      </w:r>
      <w:r w:rsidR="001542B3" w:rsidRPr="001542B3">
        <w:rPr>
          <w:rFonts w:ascii="Arial" w:hAnsi="Arial" w:cs="Arial"/>
          <w:sz w:val="20"/>
          <w:szCs w:val="20"/>
        </w:rPr>
        <w:t xml:space="preserve">sale proceeds </w:t>
      </w:r>
      <w:r w:rsidR="00BA6AE5">
        <w:rPr>
          <w:rFonts w:ascii="Arial" w:hAnsi="Arial" w:cs="Arial"/>
          <w:sz w:val="20"/>
          <w:szCs w:val="20"/>
        </w:rPr>
        <w:t xml:space="preserve">from the Divestment </w:t>
      </w:r>
      <w:r w:rsidR="005D5A90">
        <w:rPr>
          <w:rFonts w:ascii="Arial" w:hAnsi="Arial" w:cs="Arial"/>
          <w:sz w:val="20"/>
          <w:szCs w:val="20"/>
        </w:rPr>
        <w:t>are</w:t>
      </w:r>
      <w:r w:rsidR="00BE261A">
        <w:rPr>
          <w:rFonts w:ascii="Arial" w:hAnsi="Arial" w:cs="Arial"/>
          <w:sz w:val="20"/>
          <w:szCs w:val="20"/>
        </w:rPr>
        <w:t xml:space="preserve"> expected to be</w:t>
      </w:r>
      <w:r w:rsidR="005D5A90">
        <w:rPr>
          <w:rFonts w:ascii="Arial" w:hAnsi="Arial" w:cs="Arial"/>
          <w:sz w:val="20"/>
          <w:szCs w:val="20"/>
        </w:rPr>
        <w:t xml:space="preserve"> </w:t>
      </w:r>
      <w:r w:rsidR="001542B3" w:rsidRPr="001542B3">
        <w:rPr>
          <w:rFonts w:ascii="Arial" w:hAnsi="Arial" w:cs="Arial"/>
          <w:sz w:val="20"/>
          <w:szCs w:val="20"/>
        </w:rPr>
        <w:t>c.£40</w:t>
      </w:r>
      <w:r w:rsidR="00EF315E">
        <w:rPr>
          <w:rFonts w:ascii="Arial" w:hAnsi="Arial" w:cs="Arial"/>
          <w:sz w:val="20"/>
          <w:szCs w:val="20"/>
        </w:rPr>
        <w:t>5</w:t>
      </w:r>
      <w:r w:rsidR="001542B3" w:rsidRPr="001542B3">
        <w:rPr>
          <w:rFonts w:ascii="Arial" w:hAnsi="Arial" w:cs="Arial"/>
          <w:sz w:val="20"/>
          <w:szCs w:val="20"/>
        </w:rPr>
        <w:t xml:space="preserve"> million</w:t>
      </w:r>
      <w:r w:rsidR="001542B3">
        <w:rPr>
          <w:rFonts w:ascii="Arial" w:hAnsi="Arial" w:cs="Arial"/>
          <w:sz w:val="20"/>
          <w:szCs w:val="20"/>
        </w:rPr>
        <w:t xml:space="preserve"> a</w:t>
      </w:r>
      <w:r w:rsidR="001542B3" w:rsidRPr="001542B3">
        <w:rPr>
          <w:rFonts w:ascii="Arial" w:hAnsi="Arial" w:cs="Arial"/>
          <w:sz w:val="20"/>
          <w:szCs w:val="20"/>
        </w:rPr>
        <w:t>fter relevant adjustments</w:t>
      </w:r>
      <w:r w:rsidR="00B47929">
        <w:rPr>
          <w:rFonts w:ascii="Arial" w:hAnsi="Arial" w:cs="Arial"/>
          <w:sz w:val="20"/>
          <w:szCs w:val="20"/>
        </w:rPr>
        <w:t>,</w:t>
      </w:r>
      <w:r w:rsidR="001542B3" w:rsidRPr="001542B3">
        <w:rPr>
          <w:rFonts w:ascii="Arial" w:hAnsi="Arial" w:cs="Arial"/>
          <w:sz w:val="20"/>
          <w:szCs w:val="20"/>
        </w:rPr>
        <w:t xml:space="preserve"> including estimated transaction costs, settlement of certain transaction-related liabilities and earn-outs, reorganisation and separation costs</w:t>
      </w:r>
      <w:r w:rsidR="001542B3">
        <w:rPr>
          <w:rFonts w:ascii="Arial" w:hAnsi="Arial" w:cs="Arial"/>
          <w:sz w:val="20"/>
          <w:szCs w:val="20"/>
        </w:rPr>
        <w:t>.</w:t>
      </w:r>
      <w:r w:rsidR="001542B3" w:rsidRPr="001542B3">
        <w:rPr>
          <w:rFonts w:ascii="Arial" w:hAnsi="Arial" w:cs="Arial"/>
          <w:sz w:val="20"/>
          <w:szCs w:val="20"/>
        </w:rPr>
        <w:t xml:space="preserve"> </w:t>
      </w:r>
    </w:p>
    <w:p w14:paraId="3898AA44" w14:textId="3BFD6AB6" w:rsidR="00EF315E" w:rsidRDefault="00EF315E" w:rsidP="00255234">
      <w:pPr>
        <w:jc w:val="both"/>
        <w:rPr>
          <w:rFonts w:ascii="Arial" w:hAnsi="Arial" w:cs="Arial"/>
          <w:sz w:val="20"/>
          <w:szCs w:val="20"/>
        </w:rPr>
      </w:pPr>
      <w:r>
        <w:rPr>
          <w:rFonts w:ascii="Arial" w:hAnsi="Arial" w:cs="Arial"/>
          <w:sz w:val="20"/>
          <w:szCs w:val="20"/>
        </w:rPr>
        <w:t xml:space="preserve">On </w:t>
      </w:r>
      <w:r w:rsidR="00B24DC0">
        <w:rPr>
          <w:rFonts w:ascii="Arial" w:hAnsi="Arial" w:cs="Arial"/>
          <w:sz w:val="20"/>
          <w:szCs w:val="20"/>
        </w:rPr>
        <w:t>3 June</w:t>
      </w:r>
      <w:r>
        <w:rPr>
          <w:rFonts w:ascii="Arial" w:hAnsi="Arial" w:cs="Arial"/>
          <w:sz w:val="20"/>
          <w:szCs w:val="20"/>
        </w:rPr>
        <w:t xml:space="preserve"> 2024 we announced the completion of </w:t>
      </w:r>
      <w:r w:rsidR="00DE3D9D">
        <w:rPr>
          <w:rFonts w:ascii="Arial" w:hAnsi="Arial" w:cs="Arial"/>
          <w:sz w:val="20"/>
          <w:szCs w:val="20"/>
        </w:rPr>
        <w:t>t</w:t>
      </w:r>
      <w:r w:rsidR="005D5A90">
        <w:rPr>
          <w:rFonts w:ascii="Arial" w:hAnsi="Arial" w:cs="Arial"/>
          <w:sz w:val="20"/>
          <w:szCs w:val="20"/>
        </w:rPr>
        <w:t xml:space="preserve">he Divestment </w:t>
      </w:r>
      <w:r>
        <w:rPr>
          <w:rFonts w:ascii="Arial" w:hAnsi="Arial" w:cs="Arial"/>
          <w:sz w:val="20"/>
          <w:szCs w:val="20"/>
        </w:rPr>
        <w:t xml:space="preserve">and </w:t>
      </w:r>
      <w:r w:rsidR="005D5A90">
        <w:rPr>
          <w:rFonts w:ascii="Arial" w:hAnsi="Arial" w:cs="Arial"/>
          <w:sz w:val="20"/>
          <w:szCs w:val="20"/>
        </w:rPr>
        <w:t xml:space="preserve">the return of up to £225 million of proceeds to shareholders. </w:t>
      </w:r>
      <w:r w:rsidR="00BA6AE5">
        <w:rPr>
          <w:rFonts w:ascii="Arial" w:hAnsi="Arial" w:cs="Arial"/>
          <w:sz w:val="20"/>
          <w:szCs w:val="20"/>
        </w:rPr>
        <w:t>W</w:t>
      </w:r>
      <w:r w:rsidR="005D5A90">
        <w:rPr>
          <w:rFonts w:ascii="Arial" w:hAnsi="Arial" w:cs="Arial"/>
          <w:sz w:val="20"/>
          <w:szCs w:val="20"/>
        </w:rPr>
        <w:t xml:space="preserve">e have </w:t>
      </w:r>
      <w:r>
        <w:rPr>
          <w:rFonts w:ascii="Arial" w:hAnsi="Arial" w:cs="Arial"/>
          <w:sz w:val="20"/>
          <w:szCs w:val="20"/>
        </w:rPr>
        <w:t xml:space="preserve">subsequently </w:t>
      </w:r>
      <w:r w:rsidR="00BE261A">
        <w:rPr>
          <w:rFonts w:ascii="Arial" w:hAnsi="Arial" w:cs="Arial"/>
          <w:sz w:val="20"/>
          <w:szCs w:val="20"/>
        </w:rPr>
        <w:t xml:space="preserve">repaid </w:t>
      </w:r>
      <w:r>
        <w:rPr>
          <w:rFonts w:ascii="Arial" w:hAnsi="Arial" w:cs="Arial"/>
          <w:sz w:val="20"/>
          <w:szCs w:val="20"/>
        </w:rPr>
        <w:t xml:space="preserve">the Group’s entire debt facilities and </w:t>
      </w:r>
      <w:r w:rsidR="005D5A90">
        <w:rPr>
          <w:rFonts w:ascii="Arial" w:hAnsi="Arial" w:cs="Arial"/>
          <w:sz w:val="20"/>
          <w:szCs w:val="20"/>
        </w:rPr>
        <w:t xml:space="preserve">returned £150 million to shareholders via a special dividend </w:t>
      </w:r>
      <w:r w:rsidR="00DE3D9D">
        <w:rPr>
          <w:rFonts w:ascii="Arial" w:hAnsi="Arial" w:cs="Arial"/>
          <w:sz w:val="20"/>
          <w:szCs w:val="20"/>
        </w:rPr>
        <w:t xml:space="preserve">paid </w:t>
      </w:r>
      <w:r w:rsidR="005D5A90">
        <w:rPr>
          <w:rFonts w:ascii="Arial" w:hAnsi="Arial" w:cs="Arial"/>
          <w:sz w:val="20"/>
          <w:szCs w:val="20"/>
        </w:rPr>
        <w:t xml:space="preserve">on 5 July 2024. </w:t>
      </w:r>
      <w:r w:rsidR="009C62DE">
        <w:rPr>
          <w:rFonts w:ascii="Arial" w:hAnsi="Arial" w:cs="Arial"/>
          <w:sz w:val="20"/>
          <w:szCs w:val="20"/>
        </w:rPr>
        <w:t xml:space="preserve">As of </w:t>
      </w:r>
      <w:r w:rsidR="00DE3D9D">
        <w:rPr>
          <w:rFonts w:ascii="Arial" w:hAnsi="Arial" w:cs="Arial"/>
          <w:sz w:val="20"/>
          <w:szCs w:val="20"/>
        </w:rPr>
        <w:t>5</w:t>
      </w:r>
      <w:r w:rsidR="009C62DE">
        <w:rPr>
          <w:rFonts w:ascii="Arial" w:hAnsi="Arial" w:cs="Arial"/>
          <w:sz w:val="20"/>
          <w:szCs w:val="20"/>
        </w:rPr>
        <w:t xml:space="preserve"> July 2024, </w:t>
      </w:r>
      <w:r w:rsidR="00004D2F">
        <w:rPr>
          <w:rFonts w:ascii="Arial" w:hAnsi="Arial" w:cs="Arial"/>
          <w:sz w:val="20"/>
          <w:szCs w:val="20"/>
        </w:rPr>
        <w:t xml:space="preserve">the Board </w:t>
      </w:r>
      <w:r w:rsidR="009C62DE">
        <w:rPr>
          <w:rFonts w:ascii="Arial" w:hAnsi="Arial" w:cs="Arial"/>
          <w:sz w:val="20"/>
          <w:szCs w:val="20"/>
        </w:rPr>
        <w:t>initiated</w:t>
      </w:r>
      <w:r w:rsidR="005D5A90">
        <w:rPr>
          <w:rFonts w:ascii="Arial" w:hAnsi="Arial" w:cs="Arial"/>
          <w:sz w:val="20"/>
          <w:szCs w:val="20"/>
        </w:rPr>
        <w:t xml:space="preserve"> a share buy-back</w:t>
      </w:r>
      <w:r w:rsidR="009C62DE">
        <w:rPr>
          <w:rFonts w:ascii="Arial" w:hAnsi="Arial" w:cs="Arial"/>
          <w:sz w:val="20"/>
          <w:szCs w:val="20"/>
        </w:rPr>
        <w:t xml:space="preserve"> programme</w:t>
      </w:r>
      <w:r w:rsidR="005D5A90">
        <w:rPr>
          <w:rFonts w:ascii="Arial" w:hAnsi="Arial" w:cs="Arial"/>
          <w:sz w:val="20"/>
          <w:szCs w:val="20"/>
        </w:rPr>
        <w:t xml:space="preserve"> of up to £75 million</w:t>
      </w:r>
      <w:r w:rsidR="00167229">
        <w:rPr>
          <w:rFonts w:ascii="Arial" w:hAnsi="Arial" w:cs="Arial"/>
          <w:sz w:val="20"/>
          <w:szCs w:val="20"/>
        </w:rPr>
        <w:t xml:space="preserve">, and this is ongoing. </w:t>
      </w:r>
    </w:p>
    <w:p w14:paraId="3BE7E2CD" w14:textId="24A943AF" w:rsidR="005C032B" w:rsidRDefault="00F3667C" w:rsidP="00255234">
      <w:pPr>
        <w:jc w:val="both"/>
        <w:rPr>
          <w:rFonts w:ascii="Arial" w:hAnsi="Arial" w:cs="Arial"/>
          <w:sz w:val="20"/>
          <w:szCs w:val="20"/>
        </w:rPr>
      </w:pPr>
      <w:r>
        <w:rPr>
          <w:rFonts w:ascii="Arial" w:hAnsi="Arial" w:cs="Arial"/>
          <w:sz w:val="20"/>
          <w:szCs w:val="20"/>
        </w:rPr>
        <w:t xml:space="preserve">Marlowe </w:t>
      </w:r>
      <w:r w:rsidR="005C032B">
        <w:rPr>
          <w:rFonts w:ascii="Arial" w:hAnsi="Arial" w:cs="Arial"/>
          <w:sz w:val="20"/>
          <w:szCs w:val="20"/>
        </w:rPr>
        <w:t xml:space="preserve">now </w:t>
      </w:r>
      <w:r w:rsidR="0055076E">
        <w:rPr>
          <w:rFonts w:ascii="Arial" w:hAnsi="Arial" w:cs="Arial"/>
          <w:sz w:val="20"/>
          <w:szCs w:val="20"/>
        </w:rPr>
        <w:t xml:space="preserve">comprises </w:t>
      </w:r>
      <w:r w:rsidR="005C032B">
        <w:rPr>
          <w:rFonts w:ascii="Arial" w:hAnsi="Arial" w:cs="Arial"/>
          <w:sz w:val="20"/>
          <w:szCs w:val="20"/>
        </w:rPr>
        <w:t>of two market-leading compliance service division</w:t>
      </w:r>
      <w:r w:rsidR="006271CA">
        <w:rPr>
          <w:rFonts w:ascii="Arial" w:hAnsi="Arial" w:cs="Arial"/>
          <w:sz w:val="20"/>
          <w:szCs w:val="20"/>
        </w:rPr>
        <w:t>s</w:t>
      </w:r>
      <w:r w:rsidR="005C032B">
        <w:rPr>
          <w:rFonts w:ascii="Arial" w:hAnsi="Arial" w:cs="Arial"/>
          <w:sz w:val="20"/>
          <w:szCs w:val="20"/>
        </w:rPr>
        <w:t xml:space="preserve"> in Testing, Inspection and Certification (“TIC”) and Occupational Health</w:t>
      </w:r>
      <w:r w:rsidR="009C62DE">
        <w:rPr>
          <w:rFonts w:ascii="Arial" w:hAnsi="Arial" w:cs="Arial"/>
          <w:sz w:val="20"/>
          <w:szCs w:val="20"/>
        </w:rPr>
        <w:t xml:space="preserve"> (“OH”)</w:t>
      </w:r>
      <w:r w:rsidR="005C032B">
        <w:rPr>
          <w:rFonts w:ascii="Arial" w:hAnsi="Arial" w:cs="Arial"/>
          <w:sz w:val="20"/>
          <w:szCs w:val="20"/>
        </w:rPr>
        <w:t>. The</w:t>
      </w:r>
      <w:r w:rsidR="00A360A2">
        <w:rPr>
          <w:rFonts w:ascii="Arial" w:hAnsi="Arial" w:cs="Arial"/>
          <w:sz w:val="20"/>
          <w:szCs w:val="20"/>
        </w:rPr>
        <w:t>se</w:t>
      </w:r>
      <w:r w:rsidR="005C032B">
        <w:rPr>
          <w:rFonts w:ascii="Arial" w:hAnsi="Arial" w:cs="Arial"/>
          <w:sz w:val="20"/>
          <w:szCs w:val="20"/>
        </w:rPr>
        <w:t xml:space="preserve"> markets </w:t>
      </w:r>
      <w:r w:rsidR="00A360A2">
        <w:rPr>
          <w:rFonts w:ascii="Arial" w:hAnsi="Arial" w:cs="Arial"/>
          <w:sz w:val="20"/>
          <w:szCs w:val="20"/>
        </w:rPr>
        <w:t>have strong structural tailwinds</w:t>
      </w:r>
      <w:r w:rsidR="00D77F13">
        <w:rPr>
          <w:rFonts w:ascii="Arial" w:hAnsi="Arial" w:cs="Arial"/>
          <w:sz w:val="20"/>
          <w:szCs w:val="20"/>
        </w:rPr>
        <w:t xml:space="preserve">, with many of the services we provide being non-discretionary to our customers and </w:t>
      </w:r>
      <w:r w:rsidR="00A360A2">
        <w:rPr>
          <w:rFonts w:ascii="Arial" w:hAnsi="Arial" w:cs="Arial"/>
          <w:sz w:val="20"/>
          <w:szCs w:val="20"/>
        </w:rPr>
        <w:t xml:space="preserve">leading to an </w:t>
      </w:r>
      <w:r w:rsidR="005C032B">
        <w:rPr>
          <w:rFonts w:ascii="Arial" w:hAnsi="Arial" w:cs="Arial"/>
          <w:sz w:val="20"/>
          <w:szCs w:val="20"/>
        </w:rPr>
        <w:t xml:space="preserve">estimated </w:t>
      </w:r>
      <w:r w:rsidR="00D77F13">
        <w:rPr>
          <w:rFonts w:ascii="Arial" w:hAnsi="Arial" w:cs="Arial"/>
          <w:sz w:val="20"/>
          <w:szCs w:val="20"/>
        </w:rPr>
        <w:t>80</w:t>
      </w:r>
      <w:r w:rsidR="005C032B">
        <w:rPr>
          <w:rFonts w:ascii="Arial" w:hAnsi="Arial" w:cs="Arial"/>
          <w:sz w:val="20"/>
          <w:szCs w:val="20"/>
        </w:rPr>
        <w:t xml:space="preserve">% of </w:t>
      </w:r>
      <w:r w:rsidR="00D77F13">
        <w:rPr>
          <w:rFonts w:ascii="Arial" w:hAnsi="Arial" w:cs="Arial"/>
          <w:sz w:val="20"/>
          <w:szCs w:val="20"/>
        </w:rPr>
        <w:t xml:space="preserve">recurring </w:t>
      </w:r>
      <w:r w:rsidR="005C032B">
        <w:rPr>
          <w:rFonts w:ascii="Arial" w:hAnsi="Arial" w:cs="Arial"/>
          <w:sz w:val="20"/>
          <w:szCs w:val="20"/>
        </w:rPr>
        <w:t xml:space="preserve">revenues </w:t>
      </w:r>
      <w:r w:rsidR="00D77F13">
        <w:rPr>
          <w:rFonts w:ascii="Arial" w:hAnsi="Arial" w:cs="Arial"/>
          <w:sz w:val="20"/>
          <w:szCs w:val="20"/>
        </w:rPr>
        <w:t>across the Group</w:t>
      </w:r>
      <w:r w:rsidR="005C032B">
        <w:rPr>
          <w:rFonts w:ascii="Arial" w:hAnsi="Arial" w:cs="Arial"/>
          <w:sz w:val="20"/>
          <w:szCs w:val="20"/>
        </w:rPr>
        <w:t xml:space="preserve">. </w:t>
      </w:r>
    </w:p>
    <w:p w14:paraId="3EB5C3CE" w14:textId="03F38CD5" w:rsidR="00C9489E" w:rsidRPr="00EB37B9" w:rsidRDefault="009C429A" w:rsidP="00255234">
      <w:pPr>
        <w:jc w:val="both"/>
        <w:rPr>
          <w:rFonts w:ascii="Arial" w:hAnsi="Arial" w:cs="Arial"/>
          <w:sz w:val="20"/>
          <w:szCs w:val="20"/>
        </w:rPr>
      </w:pPr>
      <w:r>
        <w:rPr>
          <w:rFonts w:ascii="Arial" w:hAnsi="Arial" w:cs="Arial"/>
          <w:sz w:val="20"/>
          <w:szCs w:val="20"/>
        </w:rPr>
        <w:t xml:space="preserve">We </w:t>
      </w:r>
      <w:r w:rsidR="0055076E">
        <w:rPr>
          <w:rFonts w:ascii="Arial" w:hAnsi="Arial" w:cs="Arial"/>
          <w:sz w:val="20"/>
          <w:szCs w:val="20"/>
        </w:rPr>
        <w:t xml:space="preserve">continue to </w:t>
      </w:r>
      <w:r>
        <w:rPr>
          <w:rFonts w:ascii="Arial" w:hAnsi="Arial" w:cs="Arial"/>
          <w:sz w:val="20"/>
          <w:szCs w:val="20"/>
        </w:rPr>
        <w:t xml:space="preserve">see </w:t>
      </w:r>
      <w:r w:rsidR="0055076E">
        <w:rPr>
          <w:rFonts w:ascii="Arial" w:hAnsi="Arial" w:cs="Arial"/>
          <w:sz w:val="20"/>
          <w:szCs w:val="20"/>
        </w:rPr>
        <w:t xml:space="preserve">significant </w:t>
      </w:r>
      <w:r>
        <w:rPr>
          <w:rFonts w:ascii="Arial" w:hAnsi="Arial" w:cs="Arial"/>
          <w:sz w:val="20"/>
          <w:szCs w:val="20"/>
        </w:rPr>
        <w:t xml:space="preserve">opportunity for </w:t>
      </w:r>
      <w:r w:rsidR="0055076E">
        <w:rPr>
          <w:rFonts w:ascii="Arial" w:hAnsi="Arial" w:cs="Arial"/>
          <w:sz w:val="20"/>
          <w:szCs w:val="20"/>
        </w:rPr>
        <w:t xml:space="preserve">further </w:t>
      </w:r>
      <w:r>
        <w:rPr>
          <w:rFonts w:ascii="Arial" w:hAnsi="Arial" w:cs="Arial"/>
          <w:sz w:val="20"/>
          <w:szCs w:val="20"/>
        </w:rPr>
        <w:t>growth as we look ahead. We are focussed on driving organic</w:t>
      </w:r>
      <w:r w:rsidR="00146F44">
        <w:rPr>
          <w:rFonts w:ascii="Arial" w:hAnsi="Arial" w:cs="Arial"/>
          <w:sz w:val="20"/>
          <w:szCs w:val="20"/>
        </w:rPr>
        <w:t xml:space="preserve"> revenues</w:t>
      </w:r>
      <w:r>
        <w:rPr>
          <w:rFonts w:ascii="Arial" w:hAnsi="Arial" w:cs="Arial"/>
          <w:sz w:val="20"/>
          <w:szCs w:val="20"/>
        </w:rPr>
        <w:t xml:space="preserve">, improving margins and delivering attractive free cash flow. </w:t>
      </w:r>
      <w:r w:rsidR="00EB37B9">
        <w:rPr>
          <w:rFonts w:ascii="Arial" w:hAnsi="Arial" w:cs="Arial"/>
          <w:sz w:val="20"/>
          <w:szCs w:val="20"/>
        </w:rPr>
        <w:t xml:space="preserve">We have </w:t>
      </w:r>
      <w:r w:rsidR="00EB37B9" w:rsidRPr="00A04E4D">
        <w:rPr>
          <w:rFonts w:ascii="Arial" w:hAnsi="Arial" w:cs="Arial"/>
          <w:sz w:val="20"/>
          <w:szCs w:val="20"/>
        </w:rPr>
        <w:t>a refocused strategy</w:t>
      </w:r>
      <w:r w:rsidR="00EB37B9">
        <w:rPr>
          <w:rFonts w:ascii="Arial" w:hAnsi="Arial" w:cs="Arial"/>
          <w:sz w:val="20"/>
          <w:szCs w:val="20"/>
        </w:rPr>
        <w:t xml:space="preserve"> and are well positioned to capitalise on the attractive compliance service markets we </w:t>
      </w:r>
      <w:r w:rsidR="00D77F13">
        <w:rPr>
          <w:rFonts w:ascii="Arial" w:hAnsi="Arial" w:cs="Arial"/>
          <w:sz w:val="20"/>
          <w:szCs w:val="20"/>
        </w:rPr>
        <w:t>serve</w:t>
      </w:r>
      <w:r w:rsidR="00EB37B9">
        <w:rPr>
          <w:rFonts w:ascii="Arial" w:hAnsi="Arial" w:cs="Arial"/>
          <w:sz w:val="20"/>
          <w:szCs w:val="20"/>
        </w:rPr>
        <w:t>.</w:t>
      </w:r>
    </w:p>
    <w:p w14:paraId="0CCD082C" w14:textId="316E6A26" w:rsidR="00631AE2" w:rsidRDefault="00167229" w:rsidP="00631AE2">
      <w:pPr>
        <w:rPr>
          <w:rFonts w:ascii="Arial" w:hAnsi="Arial" w:cs="Arial"/>
          <w:b/>
          <w:bCs/>
          <w:sz w:val="20"/>
          <w:szCs w:val="20"/>
        </w:rPr>
      </w:pPr>
      <w:r>
        <w:rPr>
          <w:rFonts w:ascii="Arial" w:hAnsi="Arial" w:cs="Arial"/>
          <w:b/>
          <w:bCs/>
          <w:sz w:val="20"/>
          <w:szCs w:val="20"/>
        </w:rPr>
        <w:t>Financial</w:t>
      </w:r>
      <w:r w:rsidRPr="00811359">
        <w:rPr>
          <w:rFonts w:ascii="Arial" w:hAnsi="Arial" w:cs="Arial"/>
          <w:b/>
          <w:bCs/>
          <w:sz w:val="20"/>
          <w:szCs w:val="20"/>
        </w:rPr>
        <w:t xml:space="preserve"> </w:t>
      </w:r>
      <w:r w:rsidR="00631AE2" w:rsidRPr="00811359">
        <w:rPr>
          <w:rFonts w:ascii="Arial" w:hAnsi="Arial" w:cs="Arial"/>
          <w:b/>
          <w:bCs/>
          <w:sz w:val="20"/>
          <w:szCs w:val="20"/>
        </w:rPr>
        <w:t>results</w:t>
      </w:r>
      <w:r w:rsidR="0099511A">
        <w:rPr>
          <w:rFonts w:ascii="Arial" w:hAnsi="Arial" w:cs="Arial"/>
          <w:b/>
          <w:bCs/>
          <w:sz w:val="20"/>
          <w:szCs w:val="20"/>
        </w:rPr>
        <w:t xml:space="preserve"> – continuing operations</w:t>
      </w:r>
    </w:p>
    <w:p w14:paraId="7EF413A2" w14:textId="512CA4F5" w:rsidR="00EB37B9" w:rsidRDefault="003A68DC" w:rsidP="00D44C7D">
      <w:pPr>
        <w:jc w:val="both"/>
        <w:rPr>
          <w:rFonts w:ascii="Arial" w:hAnsi="Arial" w:cs="Arial"/>
          <w:sz w:val="20"/>
          <w:szCs w:val="20"/>
        </w:rPr>
      </w:pPr>
      <w:r>
        <w:rPr>
          <w:rFonts w:ascii="Arial" w:hAnsi="Arial" w:cs="Arial"/>
          <w:sz w:val="20"/>
          <w:szCs w:val="20"/>
        </w:rPr>
        <w:t xml:space="preserve">The results for the Group reflect a year </w:t>
      </w:r>
      <w:r w:rsidR="00D77F13">
        <w:rPr>
          <w:rFonts w:ascii="Arial" w:hAnsi="Arial" w:cs="Arial"/>
          <w:sz w:val="20"/>
          <w:szCs w:val="20"/>
        </w:rPr>
        <w:t xml:space="preserve">of </w:t>
      </w:r>
      <w:r>
        <w:rPr>
          <w:rFonts w:ascii="Arial" w:hAnsi="Arial" w:cs="Arial"/>
          <w:sz w:val="20"/>
          <w:szCs w:val="20"/>
        </w:rPr>
        <w:t>significant integration</w:t>
      </w:r>
      <w:r w:rsidR="00D77F13">
        <w:rPr>
          <w:rFonts w:ascii="Arial" w:hAnsi="Arial" w:cs="Arial"/>
          <w:sz w:val="20"/>
          <w:szCs w:val="20"/>
        </w:rPr>
        <w:t xml:space="preserve"> and </w:t>
      </w:r>
      <w:r>
        <w:rPr>
          <w:rFonts w:ascii="Arial" w:hAnsi="Arial" w:cs="Arial"/>
          <w:sz w:val="20"/>
          <w:szCs w:val="20"/>
        </w:rPr>
        <w:t xml:space="preserve">transformation. </w:t>
      </w:r>
      <w:r w:rsidR="00D77F13">
        <w:rPr>
          <w:rFonts w:ascii="Arial" w:hAnsi="Arial" w:cs="Arial"/>
          <w:sz w:val="20"/>
          <w:szCs w:val="20"/>
        </w:rPr>
        <w:t>Against that backdrop</w:t>
      </w:r>
      <w:r w:rsidR="00A72612">
        <w:rPr>
          <w:rFonts w:ascii="Arial" w:hAnsi="Arial" w:cs="Arial"/>
          <w:sz w:val="20"/>
          <w:szCs w:val="20"/>
        </w:rPr>
        <w:t xml:space="preserve">, </w:t>
      </w:r>
      <w:r w:rsidR="00D77F13">
        <w:rPr>
          <w:rFonts w:ascii="Arial" w:hAnsi="Arial" w:cs="Arial"/>
          <w:sz w:val="20"/>
          <w:szCs w:val="20"/>
        </w:rPr>
        <w:t xml:space="preserve">the Group </w:t>
      </w:r>
      <w:r w:rsidR="00EB37B9" w:rsidRPr="00EB37B9">
        <w:rPr>
          <w:rFonts w:ascii="Arial" w:hAnsi="Arial" w:cs="Arial"/>
          <w:sz w:val="20"/>
          <w:szCs w:val="20"/>
        </w:rPr>
        <w:t>perf</w:t>
      </w:r>
      <w:r w:rsidR="00EB37B9">
        <w:rPr>
          <w:rFonts w:ascii="Arial" w:hAnsi="Arial" w:cs="Arial"/>
          <w:sz w:val="20"/>
          <w:szCs w:val="20"/>
        </w:rPr>
        <w:t xml:space="preserve">ormed well </w:t>
      </w:r>
      <w:r w:rsidR="000F2769">
        <w:rPr>
          <w:rFonts w:ascii="Arial" w:hAnsi="Arial" w:cs="Arial"/>
          <w:sz w:val="20"/>
          <w:szCs w:val="20"/>
        </w:rPr>
        <w:t xml:space="preserve">and </w:t>
      </w:r>
      <w:r w:rsidR="00D77F13">
        <w:rPr>
          <w:rFonts w:ascii="Arial" w:hAnsi="Arial" w:cs="Arial"/>
          <w:sz w:val="20"/>
          <w:szCs w:val="20"/>
        </w:rPr>
        <w:t xml:space="preserve">made strong </w:t>
      </w:r>
      <w:r w:rsidR="00EB37B9">
        <w:rPr>
          <w:rFonts w:ascii="Arial" w:hAnsi="Arial" w:cs="Arial"/>
          <w:sz w:val="20"/>
          <w:szCs w:val="20"/>
        </w:rPr>
        <w:t xml:space="preserve">operational progress within </w:t>
      </w:r>
      <w:r w:rsidR="00D77F13">
        <w:rPr>
          <w:rFonts w:ascii="Arial" w:hAnsi="Arial" w:cs="Arial"/>
          <w:sz w:val="20"/>
          <w:szCs w:val="20"/>
        </w:rPr>
        <w:t xml:space="preserve">its </w:t>
      </w:r>
      <w:r w:rsidR="00EB37B9">
        <w:rPr>
          <w:rFonts w:ascii="Arial" w:hAnsi="Arial" w:cs="Arial"/>
          <w:sz w:val="20"/>
          <w:szCs w:val="20"/>
        </w:rPr>
        <w:t>divisions</w:t>
      </w:r>
      <w:r w:rsidR="005C032B">
        <w:rPr>
          <w:rFonts w:ascii="Arial" w:hAnsi="Arial" w:cs="Arial"/>
          <w:sz w:val="20"/>
          <w:szCs w:val="20"/>
        </w:rPr>
        <w:t xml:space="preserve">. </w:t>
      </w:r>
      <w:r w:rsidR="00167229">
        <w:rPr>
          <w:rFonts w:ascii="Arial" w:hAnsi="Arial" w:cs="Arial"/>
          <w:sz w:val="20"/>
          <w:szCs w:val="20"/>
        </w:rPr>
        <w:t>Revenue from continuing operations</w:t>
      </w:r>
      <w:r w:rsidR="005C032B">
        <w:rPr>
          <w:rFonts w:ascii="Arial" w:hAnsi="Arial" w:cs="Arial"/>
          <w:sz w:val="20"/>
          <w:szCs w:val="20"/>
        </w:rPr>
        <w:t xml:space="preserve"> </w:t>
      </w:r>
      <w:r w:rsidR="007A7FAB">
        <w:rPr>
          <w:rFonts w:ascii="Arial" w:hAnsi="Arial" w:cs="Arial"/>
          <w:sz w:val="20"/>
          <w:szCs w:val="20"/>
        </w:rPr>
        <w:t xml:space="preserve">grew </w:t>
      </w:r>
      <w:r w:rsidR="00072548">
        <w:rPr>
          <w:rFonts w:ascii="Arial" w:hAnsi="Arial" w:cs="Arial"/>
          <w:sz w:val="20"/>
          <w:szCs w:val="20"/>
        </w:rPr>
        <w:t>5</w:t>
      </w:r>
      <w:r w:rsidR="007A7FAB">
        <w:rPr>
          <w:rFonts w:ascii="Arial" w:hAnsi="Arial" w:cs="Arial"/>
          <w:sz w:val="20"/>
          <w:szCs w:val="20"/>
        </w:rPr>
        <w:t>% to £</w:t>
      </w:r>
      <w:r w:rsidR="00D42C49">
        <w:rPr>
          <w:rFonts w:ascii="Arial" w:hAnsi="Arial" w:cs="Arial"/>
          <w:sz w:val="20"/>
          <w:szCs w:val="20"/>
        </w:rPr>
        <w:t>40</w:t>
      </w:r>
      <w:r w:rsidR="00072548">
        <w:rPr>
          <w:rFonts w:ascii="Arial" w:hAnsi="Arial" w:cs="Arial"/>
          <w:sz w:val="20"/>
          <w:szCs w:val="20"/>
        </w:rPr>
        <w:t>2.9</w:t>
      </w:r>
      <w:r w:rsidR="007A7FAB">
        <w:rPr>
          <w:rFonts w:ascii="Arial" w:hAnsi="Arial" w:cs="Arial"/>
          <w:sz w:val="20"/>
          <w:szCs w:val="20"/>
        </w:rPr>
        <w:t xml:space="preserve"> million </w:t>
      </w:r>
      <w:r w:rsidR="00D77F13">
        <w:rPr>
          <w:rFonts w:ascii="Arial" w:hAnsi="Arial" w:cs="Arial"/>
          <w:sz w:val="20"/>
          <w:szCs w:val="20"/>
        </w:rPr>
        <w:t xml:space="preserve">benefiting from </w:t>
      </w:r>
      <w:r w:rsidR="00D42C49">
        <w:rPr>
          <w:rFonts w:ascii="Arial" w:hAnsi="Arial" w:cs="Arial"/>
          <w:sz w:val="20"/>
          <w:szCs w:val="20"/>
        </w:rPr>
        <w:t>4</w:t>
      </w:r>
      <w:r w:rsidR="007A7FAB">
        <w:rPr>
          <w:rFonts w:ascii="Arial" w:hAnsi="Arial" w:cs="Arial"/>
          <w:sz w:val="20"/>
          <w:szCs w:val="20"/>
        </w:rPr>
        <w:t>% organic growth in TIC and the contribution from acquisitions</w:t>
      </w:r>
      <w:r w:rsidR="00DE3D9D">
        <w:rPr>
          <w:rFonts w:ascii="Arial" w:hAnsi="Arial" w:cs="Arial"/>
          <w:sz w:val="20"/>
          <w:szCs w:val="20"/>
        </w:rPr>
        <w:t xml:space="preserve"> during the period</w:t>
      </w:r>
      <w:r w:rsidR="007A7FAB">
        <w:rPr>
          <w:rFonts w:ascii="Arial" w:hAnsi="Arial" w:cs="Arial"/>
          <w:sz w:val="20"/>
          <w:szCs w:val="20"/>
        </w:rPr>
        <w:t xml:space="preserve">. Occupational Health revenue decreased due to </w:t>
      </w:r>
      <w:r w:rsidR="00E72DAB">
        <w:rPr>
          <w:rFonts w:ascii="Arial" w:hAnsi="Arial" w:cs="Arial"/>
          <w:sz w:val="20"/>
          <w:szCs w:val="20"/>
        </w:rPr>
        <w:t xml:space="preserve">the </w:t>
      </w:r>
      <w:r w:rsidR="0067422B">
        <w:rPr>
          <w:rFonts w:ascii="Arial" w:hAnsi="Arial" w:cs="Arial"/>
          <w:sz w:val="20"/>
          <w:szCs w:val="20"/>
        </w:rPr>
        <w:t>impact of</w:t>
      </w:r>
      <w:r w:rsidR="00E72DAB">
        <w:rPr>
          <w:rFonts w:ascii="Arial" w:hAnsi="Arial" w:cs="Arial"/>
          <w:sz w:val="20"/>
          <w:szCs w:val="20"/>
        </w:rPr>
        <w:t xml:space="preserve"> </w:t>
      </w:r>
      <w:r w:rsidR="007A7FAB">
        <w:rPr>
          <w:rFonts w:ascii="Arial" w:hAnsi="Arial" w:cs="Arial"/>
          <w:sz w:val="20"/>
          <w:szCs w:val="20"/>
        </w:rPr>
        <w:t>contract loss</w:t>
      </w:r>
      <w:r>
        <w:rPr>
          <w:rFonts w:ascii="Arial" w:hAnsi="Arial" w:cs="Arial"/>
          <w:sz w:val="20"/>
          <w:szCs w:val="20"/>
        </w:rPr>
        <w:t>es</w:t>
      </w:r>
      <w:r w:rsidR="00D77F13">
        <w:rPr>
          <w:rFonts w:ascii="Arial" w:hAnsi="Arial" w:cs="Arial"/>
          <w:sz w:val="20"/>
          <w:szCs w:val="20"/>
        </w:rPr>
        <w:t>. T</w:t>
      </w:r>
      <w:r w:rsidR="00146F44">
        <w:rPr>
          <w:rFonts w:ascii="Arial" w:hAnsi="Arial" w:cs="Arial"/>
          <w:sz w:val="20"/>
          <w:szCs w:val="20"/>
        </w:rPr>
        <w:t xml:space="preserve">he division </w:t>
      </w:r>
      <w:r w:rsidR="00DE459C">
        <w:rPr>
          <w:rFonts w:ascii="Arial" w:hAnsi="Arial" w:cs="Arial"/>
          <w:sz w:val="20"/>
          <w:szCs w:val="20"/>
        </w:rPr>
        <w:t xml:space="preserve">has since </w:t>
      </w:r>
      <w:r w:rsidR="00D77F13">
        <w:rPr>
          <w:rFonts w:ascii="Arial" w:hAnsi="Arial" w:cs="Arial"/>
          <w:sz w:val="20"/>
          <w:szCs w:val="20"/>
        </w:rPr>
        <w:t xml:space="preserve">won </w:t>
      </w:r>
      <w:r w:rsidR="00DE459C">
        <w:rPr>
          <w:rFonts w:ascii="Arial" w:hAnsi="Arial" w:cs="Arial"/>
          <w:sz w:val="20"/>
          <w:szCs w:val="20"/>
        </w:rPr>
        <w:t xml:space="preserve">£13.8 million of new business </w:t>
      </w:r>
      <w:r w:rsidR="002814D0">
        <w:rPr>
          <w:rFonts w:ascii="Arial" w:hAnsi="Arial" w:cs="Arial"/>
          <w:sz w:val="20"/>
          <w:szCs w:val="20"/>
        </w:rPr>
        <w:t xml:space="preserve">which </w:t>
      </w:r>
      <w:r w:rsidR="008B4257">
        <w:rPr>
          <w:rFonts w:ascii="Arial" w:hAnsi="Arial" w:cs="Arial"/>
          <w:sz w:val="20"/>
          <w:szCs w:val="20"/>
        </w:rPr>
        <w:t xml:space="preserve">has started or will </w:t>
      </w:r>
      <w:r w:rsidR="00DE459C">
        <w:rPr>
          <w:rFonts w:ascii="Arial" w:hAnsi="Arial" w:cs="Arial"/>
          <w:sz w:val="20"/>
          <w:szCs w:val="20"/>
        </w:rPr>
        <w:t xml:space="preserve">start </w:t>
      </w:r>
      <w:r w:rsidR="00D77F13">
        <w:rPr>
          <w:rFonts w:ascii="Arial" w:hAnsi="Arial" w:cs="Arial"/>
          <w:sz w:val="20"/>
          <w:szCs w:val="20"/>
        </w:rPr>
        <w:t xml:space="preserve">during </w:t>
      </w:r>
      <w:r w:rsidR="002814D0">
        <w:rPr>
          <w:rFonts w:ascii="Arial" w:hAnsi="Arial" w:cs="Arial"/>
          <w:sz w:val="20"/>
          <w:szCs w:val="20"/>
        </w:rPr>
        <w:t xml:space="preserve">FY25. </w:t>
      </w:r>
    </w:p>
    <w:p w14:paraId="19BF012E" w14:textId="659819AA" w:rsidR="007A7FAB" w:rsidRDefault="00167229" w:rsidP="00D44C7D">
      <w:pPr>
        <w:jc w:val="both"/>
        <w:rPr>
          <w:rFonts w:ascii="Arial" w:hAnsi="Arial" w:cs="Arial"/>
          <w:sz w:val="20"/>
          <w:szCs w:val="20"/>
        </w:rPr>
      </w:pPr>
      <w:r>
        <w:rPr>
          <w:rFonts w:ascii="Arial" w:hAnsi="Arial" w:cs="Arial"/>
          <w:sz w:val="20"/>
          <w:szCs w:val="20"/>
        </w:rPr>
        <w:t>A</w:t>
      </w:r>
      <w:r w:rsidR="007A7FAB">
        <w:rPr>
          <w:rFonts w:ascii="Arial" w:hAnsi="Arial" w:cs="Arial"/>
          <w:sz w:val="20"/>
          <w:szCs w:val="20"/>
        </w:rPr>
        <w:t xml:space="preserve">djusted EBITDA </w:t>
      </w:r>
      <w:r w:rsidR="005B339E">
        <w:rPr>
          <w:rFonts w:ascii="Arial" w:hAnsi="Arial" w:cs="Arial"/>
          <w:sz w:val="20"/>
          <w:szCs w:val="20"/>
        </w:rPr>
        <w:t>of £49.</w:t>
      </w:r>
      <w:r w:rsidR="0099511A">
        <w:rPr>
          <w:rFonts w:ascii="Arial" w:hAnsi="Arial" w:cs="Arial"/>
          <w:sz w:val="20"/>
          <w:szCs w:val="20"/>
        </w:rPr>
        <w:t>0</w:t>
      </w:r>
      <w:r w:rsidR="0083220C">
        <w:rPr>
          <w:rFonts w:ascii="Arial" w:hAnsi="Arial" w:cs="Arial"/>
          <w:sz w:val="20"/>
          <w:szCs w:val="20"/>
        </w:rPr>
        <w:t xml:space="preserve"> million</w:t>
      </w:r>
      <w:r w:rsidR="005B339E">
        <w:rPr>
          <w:rFonts w:ascii="Arial" w:hAnsi="Arial" w:cs="Arial"/>
          <w:sz w:val="20"/>
          <w:szCs w:val="20"/>
        </w:rPr>
        <w:t xml:space="preserve"> (FY23: £51.</w:t>
      </w:r>
      <w:r w:rsidR="0099511A">
        <w:rPr>
          <w:rFonts w:ascii="Arial" w:hAnsi="Arial" w:cs="Arial"/>
          <w:sz w:val="20"/>
          <w:szCs w:val="20"/>
        </w:rPr>
        <w:t>3</w:t>
      </w:r>
      <w:r w:rsidR="005B339E">
        <w:rPr>
          <w:rFonts w:ascii="Arial" w:hAnsi="Arial" w:cs="Arial"/>
          <w:sz w:val="20"/>
          <w:szCs w:val="20"/>
        </w:rPr>
        <w:t xml:space="preserve"> million) reflects</w:t>
      </w:r>
      <w:r w:rsidR="00F60878">
        <w:rPr>
          <w:rFonts w:ascii="Arial" w:hAnsi="Arial" w:cs="Arial"/>
          <w:sz w:val="20"/>
          <w:szCs w:val="20"/>
        </w:rPr>
        <w:t xml:space="preserve"> the retained Group operations</w:t>
      </w:r>
      <w:r w:rsidR="00067F2F">
        <w:rPr>
          <w:rFonts w:ascii="Arial" w:hAnsi="Arial" w:cs="Arial"/>
          <w:sz w:val="20"/>
          <w:szCs w:val="20"/>
        </w:rPr>
        <w:t>. T</w:t>
      </w:r>
      <w:r w:rsidR="00F60878">
        <w:rPr>
          <w:rFonts w:ascii="Arial" w:hAnsi="Arial" w:cs="Arial"/>
          <w:sz w:val="20"/>
          <w:szCs w:val="20"/>
        </w:rPr>
        <w:t>he reduction on the prior year</w:t>
      </w:r>
      <w:r w:rsidR="005B339E">
        <w:rPr>
          <w:rFonts w:ascii="Arial" w:hAnsi="Arial" w:cs="Arial"/>
          <w:sz w:val="20"/>
          <w:szCs w:val="20"/>
        </w:rPr>
        <w:t xml:space="preserve"> </w:t>
      </w:r>
      <w:r w:rsidR="00F60878">
        <w:rPr>
          <w:rFonts w:ascii="Arial" w:hAnsi="Arial" w:cs="Arial"/>
          <w:sz w:val="20"/>
          <w:szCs w:val="20"/>
        </w:rPr>
        <w:t xml:space="preserve">has been driven by </w:t>
      </w:r>
      <w:r w:rsidR="00D77F13">
        <w:rPr>
          <w:rFonts w:ascii="Arial" w:hAnsi="Arial" w:cs="Arial"/>
          <w:sz w:val="20"/>
          <w:szCs w:val="20"/>
        </w:rPr>
        <w:t xml:space="preserve">contract losses within Occupational Health, </w:t>
      </w:r>
      <w:r w:rsidR="00A72612">
        <w:rPr>
          <w:rFonts w:ascii="Arial" w:hAnsi="Arial" w:cs="Arial"/>
          <w:sz w:val="20"/>
          <w:szCs w:val="20"/>
        </w:rPr>
        <w:t xml:space="preserve">increased </w:t>
      </w:r>
      <w:r w:rsidR="00D77F13">
        <w:rPr>
          <w:rFonts w:ascii="Arial" w:hAnsi="Arial" w:cs="Arial"/>
          <w:sz w:val="20"/>
          <w:szCs w:val="20"/>
        </w:rPr>
        <w:t xml:space="preserve">use of </w:t>
      </w:r>
      <w:r w:rsidR="00A72612">
        <w:rPr>
          <w:rFonts w:ascii="Arial" w:hAnsi="Arial" w:cs="Arial"/>
          <w:sz w:val="20"/>
          <w:szCs w:val="20"/>
        </w:rPr>
        <w:t>subcontractor</w:t>
      </w:r>
      <w:r w:rsidR="00B47929">
        <w:rPr>
          <w:rFonts w:ascii="Arial" w:hAnsi="Arial" w:cs="Arial"/>
          <w:sz w:val="20"/>
          <w:szCs w:val="20"/>
        </w:rPr>
        <w:t>s</w:t>
      </w:r>
      <w:r w:rsidR="00A72612">
        <w:rPr>
          <w:rFonts w:ascii="Arial" w:hAnsi="Arial" w:cs="Arial"/>
          <w:sz w:val="20"/>
          <w:szCs w:val="20"/>
        </w:rPr>
        <w:t xml:space="preserve"> and a one-off accounting adjustment</w:t>
      </w:r>
      <w:r w:rsidR="002E52FD">
        <w:rPr>
          <w:rFonts w:ascii="Arial" w:hAnsi="Arial" w:cs="Arial"/>
          <w:sz w:val="20"/>
          <w:szCs w:val="20"/>
        </w:rPr>
        <w:t xml:space="preserve"> relating to a review of the recoverability of </w:t>
      </w:r>
      <w:r w:rsidR="00DC09F6">
        <w:rPr>
          <w:rFonts w:ascii="Arial" w:hAnsi="Arial" w:cs="Arial"/>
          <w:sz w:val="20"/>
          <w:szCs w:val="20"/>
        </w:rPr>
        <w:t xml:space="preserve">certain current </w:t>
      </w:r>
      <w:r w:rsidR="002E52FD">
        <w:rPr>
          <w:rFonts w:ascii="Arial" w:hAnsi="Arial" w:cs="Arial"/>
          <w:sz w:val="20"/>
          <w:szCs w:val="20"/>
        </w:rPr>
        <w:t>assets</w:t>
      </w:r>
      <w:r w:rsidR="00A72612">
        <w:rPr>
          <w:rFonts w:ascii="Arial" w:hAnsi="Arial" w:cs="Arial"/>
          <w:sz w:val="20"/>
          <w:szCs w:val="20"/>
        </w:rPr>
        <w:t xml:space="preserve"> within </w:t>
      </w:r>
      <w:r w:rsidR="00E72DAB">
        <w:rPr>
          <w:rFonts w:ascii="Arial" w:hAnsi="Arial" w:cs="Arial"/>
          <w:sz w:val="20"/>
          <w:szCs w:val="20"/>
        </w:rPr>
        <w:t>our Water &amp; Air Hygiene business</w:t>
      </w:r>
      <w:r w:rsidR="00A72612">
        <w:rPr>
          <w:rFonts w:ascii="Arial" w:hAnsi="Arial" w:cs="Arial"/>
          <w:sz w:val="20"/>
          <w:szCs w:val="20"/>
        </w:rPr>
        <w:t xml:space="preserve">. This </w:t>
      </w:r>
      <w:r w:rsidR="00146F44">
        <w:rPr>
          <w:rFonts w:ascii="Arial" w:hAnsi="Arial" w:cs="Arial"/>
          <w:sz w:val="20"/>
          <w:szCs w:val="20"/>
        </w:rPr>
        <w:t xml:space="preserve">resulted in a </w:t>
      </w:r>
      <w:r w:rsidR="0083220C">
        <w:rPr>
          <w:rFonts w:ascii="Arial" w:hAnsi="Arial" w:cs="Arial"/>
          <w:sz w:val="20"/>
          <w:szCs w:val="20"/>
        </w:rPr>
        <w:t xml:space="preserve">120bps </w:t>
      </w:r>
      <w:r w:rsidR="00146F44">
        <w:rPr>
          <w:rFonts w:ascii="Arial" w:hAnsi="Arial" w:cs="Arial"/>
          <w:sz w:val="20"/>
          <w:szCs w:val="20"/>
        </w:rPr>
        <w:t xml:space="preserve">compression of </w:t>
      </w:r>
      <w:r w:rsidR="00A92137">
        <w:rPr>
          <w:rFonts w:ascii="Arial" w:hAnsi="Arial" w:cs="Arial"/>
          <w:sz w:val="20"/>
          <w:szCs w:val="20"/>
        </w:rPr>
        <w:t>a</w:t>
      </w:r>
      <w:r w:rsidR="007A7FAB">
        <w:rPr>
          <w:rFonts w:ascii="Arial" w:hAnsi="Arial" w:cs="Arial"/>
          <w:sz w:val="20"/>
          <w:szCs w:val="20"/>
        </w:rPr>
        <w:t xml:space="preserve">djusted EBITDA margins </w:t>
      </w:r>
      <w:r w:rsidR="002814D0">
        <w:rPr>
          <w:rFonts w:ascii="Arial" w:hAnsi="Arial" w:cs="Arial"/>
          <w:sz w:val="20"/>
          <w:szCs w:val="20"/>
        </w:rPr>
        <w:t>year</w:t>
      </w:r>
      <w:r w:rsidR="00D77F13">
        <w:rPr>
          <w:rFonts w:ascii="Arial" w:hAnsi="Arial" w:cs="Arial"/>
          <w:sz w:val="20"/>
          <w:szCs w:val="20"/>
        </w:rPr>
        <w:t>-</w:t>
      </w:r>
      <w:r w:rsidR="002814D0">
        <w:rPr>
          <w:rFonts w:ascii="Arial" w:hAnsi="Arial" w:cs="Arial"/>
          <w:sz w:val="20"/>
          <w:szCs w:val="20"/>
        </w:rPr>
        <w:t>on</w:t>
      </w:r>
      <w:r w:rsidR="00D77F13">
        <w:rPr>
          <w:rFonts w:ascii="Arial" w:hAnsi="Arial" w:cs="Arial"/>
          <w:sz w:val="20"/>
          <w:szCs w:val="20"/>
        </w:rPr>
        <w:t>-</w:t>
      </w:r>
      <w:r w:rsidR="002814D0">
        <w:rPr>
          <w:rFonts w:ascii="Arial" w:hAnsi="Arial" w:cs="Arial"/>
          <w:sz w:val="20"/>
          <w:szCs w:val="20"/>
        </w:rPr>
        <w:t xml:space="preserve">year. Adjusted EBITDA margins </w:t>
      </w:r>
      <w:r w:rsidR="00D77F13">
        <w:rPr>
          <w:rFonts w:ascii="Arial" w:hAnsi="Arial" w:cs="Arial"/>
          <w:sz w:val="20"/>
          <w:szCs w:val="20"/>
        </w:rPr>
        <w:t xml:space="preserve">in TIC </w:t>
      </w:r>
      <w:r w:rsidR="00B47929">
        <w:rPr>
          <w:rFonts w:ascii="Arial" w:hAnsi="Arial" w:cs="Arial"/>
          <w:sz w:val="20"/>
          <w:szCs w:val="20"/>
        </w:rPr>
        <w:t>improved</w:t>
      </w:r>
      <w:r w:rsidR="00A72612">
        <w:rPr>
          <w:rFonts w:ascii="Arial" w:hAnsi="Arial" w:cs="Arial"/>
          <w:sz w:val="20"/>
          <w:szCs w:val="20"/>
        </w:rPr>
        <w:t xml:space="preserve"> </w:t>
      </w:r>
      <w:r w:rsidR="00D77F13">
        <w:rPr>
          <w:rFonts w:ascii="Arial" w:hAnsi="Arial" w:cs="Arial"/>
          <w:sz w:val="20"/>
          <w:szCs w:val="20"/>
        </w:rPr>
        <w:t xml:space="preserve">towards </w:t>
      </w:r>
      <w:r w:rsidR="00F14C20">
        <w:rPr>
          <w:rFonts w:ascii="Arial" w:hAnsi="Arial" w:cs="Arial"/>
          <w:sz w:val="20"/>
          <w:szCs w:val="20"/>
        </w:rPr>
        <w:t xml:space="preserve">the </w:t>
      </w:r>
      <w:r w:rsidR="00D77F13">
        <w:rPr>
          <w:rFonts w:ascii="Arial" w:hAnsi="Arial" w:cs="Arial"/>
          <w:sz w:val="20"/>
          <w:szCs w:val="20"/>
        </w:rPr>
        <w:t xml:space="preserve">year end </w:t>
      </w:r>
      <w:r w:rsidR="002814D0">
        <w:rPr>
          <w:rFonts w:ascii="Arial" w:hAnsi="Arial" w:cs="Arial"/>
          <w:sz w:val="20"/>
          <w:szCs w:val="20"/>
        </w:rPr>
        <w:t xml:space="preserve">as we </w:t>
      </w:r>
      <w:r w:rsidR="00146F44">
        <w:rPr>
          <w:rFonts w:ascii="Arial" w:hAnsi="Arial" w:cs="Arial"/>
          <w:sz w:val="20"/>
          <w:szCs w:val="20"/>
        </w:rPr>
        <w:t xml:space="preserve">transitioned work from subcontractors to in-house fee-earners. We expect </w:t>
      </w:r>
      <w:r w:rsidR="009A1771">
        <w:rPr>
          <w:rFonts w:ascii="Arial" w:hAnsi="Arial" w:cs="Arial"/>
          <w:sz w:val="20"/>
          <w:szCs w:val="20"/>
        </w:rPr>
        <w:t xml:space="preserve">adjusted EBITDA </w:t>
      </w:r>
      <w:r w:rsidR="00146F44">
        <w:rPr>
          <w:rFonts w:ascii="Arial" w:hAnsi="Arial" w:cs="Arial"/>
          <w:sz w:val="20"/>
          <w:szCs w:val="20"/>
        </w:rPr>
        <w:t xml:space="preserve">margins to continue to improve in both divisions </w:t>
      </w:r>
      <w:r w:rsidR="00BB407C">
        <w:rPr>
          <w:rFonts w:ascii="Arial" w:hAnsi="Arial" w:cs="Arial"/>
          <w:sz w:val="20"/>
          <w:szCs w:val="20"/>
        </w:rPr>
        <w:t xml:space="preserve">and have a medium-term </w:t>
      </w:r>
      <w:r w:rsidR="00CE43F0">
        <w:rPr>
          <w:rFonts w:ascii="Arial" w:hAnsi="Arial" w:cs="Arial"/>
          <w:sz w:val="20"/>
          <w:szCs w:val="20"/>
        </w:rPr>
        <w:t xml:space="preserve">Group </w:t>
      </w:r>
      <w:r w:rsidR="00BB407C">
        <w:rPr>
          <w:rFonts w:ascii="Arial" w:hAnsi="Arial" w:cs="Arial"/>
          <w:sz w:val="20"/>
          <w:szCs w:val="20"/>
        </w:rPr>
        <w:t xml:space="preserve">target of 15% </w:t>
      </w:r>
      <w:r w:rsidR="00146F44">
        <w:rPr>
          <w:rFonts w:ascii="Arial" w:hAnsi="Arial" w:cs="Arial"/>
          <w:sz w:val="20"/>
          <w:szCs w:val="20"/>
        </w:rPr>
        <w:t xml:space="preserve">as we focus on </w:t>
      </w:r>
      <w:r w:rsidR="0083220C">
        <w:rPr>
          <w:rFonts w:ascii="Arial" w:hAnsi="Arial" w:cs="Arial"/>
          <w:sz w:val="20"/>
          <w:szCs w:val="20"/>
        </w:rPr>
        <w:t xml:space="preserve">delivering </w:t>
      </w:r>
      <w:r w:rsidR="00146F44">
        <w:rPr>
          <w:rFonts w:ascii="Arial" w:hAnsi="Arial" w:cs="Arial"/>
          <w:sz w:val="20"/>
          <w:szCs w:val="20"/>
        </w:rPr>
        <w:t xml:space="preserve">operational efficiencies and </w:t>
      </w:r>
      <w:r w:rsidR="0083220C">
        <w:rPr>
          <w:rFonts w:ascii="Arial" w:hAnsi="Arial" w:cs="Arial"/>
          <w:sz w:val="20"/>
          <w:szCs w:val="20"/>
        </w:rPr>
        <w:t xml:space="preserve">improving </w:t>
      </w:r>
      <w:r w:rsidR="00146F44">
        <w:rPr>
          <w:rFonts w:ascii="Arial" w:hAnsi="Arial" w:cs="Arial"/>
          <w:sz w:val="20"/>
          <w:szCs w:val="20"/>
        </w:rPr>
        <w:t xml:space="preserve">revenue mix. </w:t>
      </w:r>
    </w:p>
    <w:p w14:paraId="33D10185" w14:textId="17B2191A" w:rsidR="002D2999" w:rsidRDefault="002D2999" w:rsidP="002D2999">
      <w:pPr>
        <w:jc w:val="both"/>
        <w:rPr>
          <w:rFonts w:ascii="Arial" w:hAnsi="Arial" w:cs="Arial"/>
          <w:sz w:val="20"/>
          <w:szCs w:val="20"/>
        </w:rPr>
      </w:pPr>
      <w:r w:rsidRPr="002D2999">
        <w:rPr>
          <w:rFonts w:ascii="Arial" w:hAnsi="Arial" w:cs="Arial"/>
          <w:sz w:val="20"/>
          <w:szCs w:val="20"/>
        </w:rPr>
        <w:t>Statutory operating loss was £</w:t>
      </w:r>
      <w:r w:rsidR="0099511A">
        <w:rPr>
          <w:rFonts w:ascii="Arial" w:hAnsi="Arial" w:cs="Arial"/>
          <w:sz w:val="20"/>
          <w:szCs w:val="20"/>
        </w:rPr>
        <w:t>5.0</w:t>
      </w:r>
      <w:r w:rsidRPr="002D2999">
        <w:rPr>
          <w:rFonts w:ascii="Arial" w:hAnsi="Arial" w:cs="Arial"/>
          <w:sz w:val="20"/>
          <w:szCs w:val="20"/>
        </w:rPr>
        <w:t xml:space="preserve"> million (FY23 operating</w:t>
      </w:r>
      <w:r>
        <w:rPr>
          <w:rFonts w:ascii="Arial" w:hAnsi="Arial" w:cs="Arial"/>
          <w:sz w:val="20"/>
          <w:szCs w:val="20"/>
        </w:rPr>
        <w:t xml:space="preserve"> </w:t>
      </w:r>
      <w:r w:rsidRPr="002D2999">
        <w:rPr>
          <w:rFonts w:ascii="Arial" w:hAnsi="Arial" w:cs="Arial"/>
          <w:sz w:val="20"/>
          <w:szCs w:val="20"/>
        </w:rPr>
        <w:t>profit: £3.</w:t>
      </w:r>
      <w:r w:rsidR="0099511A">
        <w:rPr>
          <w:rFonts w:ascii="Arial" w:hAnsi="Arial" w:cs="Arial"/>
          <w:sz w:val="20"/>
          <w:szCs w:val="20"/>
        </w:rPr>
        <w:t>3</w:t>
      </w:r>
      <w:r w:rsidRPr="002D2999">
        <w:rPr>
          <w:rFonts w:ascii="Arial" w:hAnsi="Arial" w:cs="Arial"/>
          <w:sz w:val="20"/>
          <w:szCs w:val="20"/>
        </w:rPr>
        <w:t xml:space="preserve"> million)</w:t>
      </w:r>
      <w:r w:rsidR="00167229">
        <w:rPr>
          <w:rFonts w:ascii="Arial" w:hAnsi="Arial" w:cs="Arial"/>
          <w:sz w:val="20"/>
          <w:szCs w:val="20"/>
        </w:rPr>
        <w:t>,</w:t>
      </w:r>
      <w:r w:rsidRPr="002D2999">
        <w:rPr>
          <w:rFonts w:ascii="Arial" w:hAnsi="Arial" w:cs="Arial"/>
          <w:sz w:val="20"/>
          <w:szCs w:val="20"/>
        </w:rPr>
        <w:t xml:space="preserve"> with the reduction resulting from</w:t>
      </w:r>
      <w:r>
        <w:rPr>
          <w:rFonts w:ascii="Arial" w:hAnsi="Arial" w:cs="Arial"/>
          <w:sz w:val="20"/>
          <w:szCs w:val="20"/>
        </w:rPr>
        <w:t xml:space="preserve"> </w:t>
      </w:r>
      <w:r w:rsidR="00067F2F">
        <w:rPr>
          <w:rFonts w:ascii="Arial" w:hAnsi="Arial" w:cs="Arial"/>
          <w:sz w:val="20"/>
          <w:szCs w:val="20"/>
        </w:rPr>
        <w:t xml:space="preserve">temporary revenue reduction and </w:t>
      </w:r>
      <w:r w:rsidR="00E72DAB">
        <w:rPr>
          <w:rFonts w:ascii="Arial" w:hAnsi="Arial" w:cs="Arial"/>
          <w:sz w:val="20"/>
          <w:szCs w:val="20"/>
        </w:rPr>
        <w:t>margin</w:t>
      </w:r>
      <w:r w:rsidR="00067F2F">
        <w:rPr>
          <w:rFonts w:ascii="Arial" w:hAnsi="Arial" w:cs="Arial"/>
          <w:sz w:val="20"/>
          <w:szCs w:val="20"/>
        </w:rPr>
        <w:t xml:space="preserve"> </w:t>
      </w:r>
      <w:r w:rsidR="00E72DAB">
        <w:rPr>
          <w:rFonts w:ascii="Arial" w:hAnsi="Arial" w:cs="Arial"/>
          <w:sz w:val="20"/>
          <w:szCs w:val="20"/>
        </w:rPr>
        <w:t>dilution</w:t>
      </w:r>
      <w:r w:rsidR="00067F2F">
        <w:rPr>
          <w:rFonts w:ascii="Arial" w:hAnsi="Arial" w:cs="Arial"/>
          <w:sz w:val="20"/>
          <w:szCs w:val="20"/>
        </w:rPr>
        <w:t xml:space="preserve"> in Occupational Health </w:t>
      </w:r>
      <w:r w:rsidR="00B74BE8">
        <w:rPr>
          <w:rFonts w:ascii="Arial" w:hAnsi="Arial" w:cs="Arial"/>
          <w:sz w:val="20"/>
          <w:szCs w:val="20"/>
        </w:rPr>
        <w:t>as described in the Business Review</w:t>
      </w:r>
      <w:r w:rsidR="00067F2F">
        <w:rPr>
          <w:rFonts w:ascii="Arial" w:hAnsi="Arial" w:cs="Arial"/>
          <w:sz w:val="20"/>
          <w:szCs w:val="20"/>
        </w:rPr>
        <w:t xml:space="preserve">, </w:t>
      </w:r>
      <w:r w:rsidRPr="002D2999">
        <w:rPr>
          <w:rFonts w:ascii="Arial" w:hAnsi="Arial" w:cs="Arial"/>
          <w:sz w:val="20"/>
          <w:szCs w:val="20"/>
        </w:rPr>
        <w:t xml:space="preserve">the </w:t>
      </w:r>
      <w:r w:rsidR="00167229">
        <w:rPr>
          <w:rFonts w:ascii="Arial" w:hAnsi="Arial" w:cs="Arial"/>
          <w:sz w:val="20"/>
          <w:szCs w:val="20"/>
        </w:rPr>
        <w:t xml:space="preserve">costs relating to the </w:t>
      </w:r>
      <w:r w:rsidRPr="002D2999">
        <w:rPr>
          <w:rFonts w:ascii="Arial" w:hAnsi="Arial" w:cs="Arial"/>
          <w:sz w:val="20"/>
          <w:szCs w:val="20"/>
        </w:rPr>
        <w:t>strategic review in the year and an</w:t>
      </w:r>
      <w:r>
        <w:rPr>
          <w:rFonts w:ascii="Arial" w:hAnsi="Arial" w:cs="Arial"/>
          <w:sz w:val="20"/>
          <w:szCs w:val="20"/>
        </w:rPr>
        <w:t xml:space="preserve"> </w:t>
      </w:r>
      <w:r w:rsidRPr="002D2999">
        <w:rPr>
          <w:rFonts w:ascii="Arial" w:hAnsi="Arial" w:cs="Arial"/>
          <w:sz w:val="20"/>
          <w:szCs w:val="20"/>
        </w:rPr>
        <w:t>increase in fair value loss on contingent consideration and</w:t>
      </w:r>
      <w:r>
        <w:rPr>
          <w:rFonts w:ascii="Arial" w:hAnsi="Arial" w:cs="Arial"/>
          <w:sz w:val="20"/>
          <w:szCs w:val="20"/>
        </w:rPr>
        <w:t xml:space="preserve"> </w:t>
      </w:r>
      <w:r w:rsidRPr="002D2999">
        <w:rPr>
          <w:rFonts w:ascii="Arial" w:hAnsi="Arial" w:cs="Arial"/>
          <w:sz w:val="20"/>
          <w:szCs w:val="20"/>
        </w:rPr>
        <w:t>acquisition</w:t>
      </w:r>
      <w:r w:rsidR="00167229">
        <w:rPr>
          <w:rFonts w:ascii="Arial" w:hAnsi="Arial" w:cs="Arial"/>
          <w:sz w:val="20"/>
          <w:szCs w:val="20"/>
        </w:rPr>
        <w:t>-</w:t>
      </w:r>
      <w:r w:rsidRPr="002D2999">
        <w:rPr>
          <w:rFonts w:ascii="Arial" w:hAnsi="Arial" w:cs="Arial"/>
          <w:sz w:val="20"/>
          <w:szCs w:val="20"/>
        </w:rPr>
        <w:t>related incentive schemes.</w:t>
      </w:r>
    </w:p>
    <w:p w14:paraId="1EFE836A" w14:textId="4315E5E4" w:rsidR="002814D0" w:rsidRPr="00EB37B9" w:rsidRDefault="00146F44" w:rsidP="00D44C7D">
      <w:pPr>
        <w:jc w:val="both"/>
        <w:rPr>
          <w:rFonts w:ascii="Arial" w:hAnsi="Arial" w:cs="Arial"/>
          <w:sz w:val="20"/>
          <w:szCs w:val="20"/>
        </w:rPr>
      </w:pPr>
      <w:r>
        <w:rPr>
          <w:rFonts w:ascii="Arial" w:hAnsi="Arial" w:cs="Arial"/>
          <w:sz w:val="20"/>
          <w:szCs w:val="20"/>
        </w:rPr>
        <w:t>Our business is highly cash generative</w:t>
      </w:r>
      <w:r w:rsidR="00EC1F54">
        <w:rPr>
          <w:rFonts w:ascii="Arial" w:hAnsi="Arial" w:cs="Arial"/>
          <w:sz w:val="20"/>
          <w:szCs w:val="20"/>
        </w:rPr>
        <w:t xml:space="preserve"> and free cash flow is a key metric the Board and management are focussed on. The Group</w:t>
      </w:r>
      <w:r w:rsidR="0099511A">
        <w:rPr>
          <w:rFonts w:ascii="Arial" w:hAnsi="Arial" w:cs="Arial"/>
          <w:sz w:val="20"/>
          <w:szCs w:val="20"/>
        </w:rPr>
        <w:t xml:space="preserve">, including the divested assets, </w:t>
      </w:r>
      <w:r w:rsidR="00EC1F54">
        <w:rPr>
          <w:rFonts w:ascii="Arial" w:hAnsi="Arial" w:cs="Arial"/>
          <w:sz w:val="20"/>
          <w:szCs w:val="20"/>
        </w:rPr>
        <w:t>generated £</w:t>
      </w:r>
      <w:r w:rsidR="00C6193D">
        <w:rPr>
          <w:rFonts w:ascii="Arial" w:hAnsi="Arial" w:cs="Arial"/>
          <w:sz w:val="20"/>
          <w:szCs w:val="20"/>
        </w:rPr>
        <w:t>8</w:t>
      </w:r>
      <w:r w:rsidR="00EA5118">
        <w:rPr>
          <w:rFonts w:ascii="Arial" w:hAnsi="Arial" w:cs="Arial"/>
          <w:sz w:val="20"/>
          <w:szCs w:val="20"/>
        </w:rPr>
        <w:t>3.8</w:t>
      </w:r>
      <w:r w:rsidR="00EC1F54">
        <w:rPr>
          <w:rFonts w:ascii="Arial" w:hAnsi="Arial" w:cs="Arial"/>
          <w:sz w:val="20"/>
          <w:szCs w:val="20"/>
        </w:rPr>
        <w:t xml:space="preserve"> million of </w:t>
      </w:r>
      <w:r w:rsidR="00FF7027">
        <w:rPr>
          <w:rFonts w:ascii="Arial" w:hAnsi="Arial" w:cs="Arial"/>
          <w:sz w:val="20"/>
          <w:szCs w:val="20"/>
        </w:rPr>
        <w:t>adjusted c</w:t>
      </w:r>
      <w:r w:rsidR="00FF7027" w:rsidRPr="00FF7027">
        <w:rPr>
          <w:rFonts w:ascii="Arial" w:hAnsi="Arial" w:cs="Arial"/>
          <w:sz w:val="20"/>
          <w:szCs w:val="20"/>
        </w:rPr>
        <w:t xml:space="preserve">ash from </w:t>
      </w:r>
      <w:r w:rsidR="000E5830">
        <w:rPr>
          <w:rFonts w:ascii="Arial" w:hAnsi="Arial" w:cs="Arial"/>
          <w:sz w:val="20"/>
          <w:szCs w:val="20"/>
        </w:rPr>
        <w:t>operations</w:t>
      </w:r>
      <w:r w:rsidR="00FF7027" w:rsidRPr="00FF7027">
        <w:rPr>
          <w:rFonts w:ascii="Arial" w:hAnsi="Arial" w:cs="Arial"/>
          <w:sz w:val="20"/>
          <w:szCs w:val="20"/>
        </w:rPr>
        <w:t xml:space="preserve"> before acquisition and restructuring costs</w:t>
      </w:r>
      <w:r w:rsidR="00A511ED">
        <w:rPr>
          <w:rFonts w:ascii="Arial" w:hAnsi="Arial" w:cs="Arial"/>
          <w:sz w:val="20"/>
          <w:szCs w:val="20"/>
        </w:rPr>
        <w:t xml:space="preserve"> </w:t>
      </w:r>
      <w:r w:rsidR="00AB4AF0">
        <w:rPr>
          <w:rFonts w:ascii="Arial" w:hAnsi="Arial" w:cs="Arial"/>
          <w:sz w:val="20"/>
          <w:szCs w:val="20"/>
        </w:rPr>
        <w:t>with a particular strong performance in the second half</w:t>
      </w:r>
      <w:r w:rsidR="00D77F13">
        <w:rPr>
          <w:rFonts w:ascii="Arial" w:hAnsi="Arial" w:cs="Arial"/>
          <w:sz w:val="20"/>
          <w:szCs w:val="20"/>
        </w:rPr>
        <w:t>. A</w:t>
      </w:r>
      <w:r w:rsidR="000C7365">
        <w:rPr>
          <w:rFonts w:ascii="Arial" w:hAnsi="Arial" w:cs="Arial"/>
          <w:sz w:val="20"/>
          <w:szCs w:val="20"/>
        </w:rPr>
        <w:t>djusted n</w:t>
      </w:r>
      <w:r w:rsidR="00ED0A3C">
        <w:rPr>
          <w:rFonts w:ascii="Arial" w:hAnsi="Arial" w:cs="Arial"/>
          <w:sz w:val="20"/>
          <w:szCs w:val="20"/>
        </w:rPr>
        <w:t xml:space="preserve">et debt </w:t>
      </w:r>
      <w:r w:rsidR="00E41506">
        <w:rPr>
          <w:rFonts w:ascii="Arial" w:hAnsi="Arial" w:cs="Arial"/>
          <w:sz w:val="20"/>
          <w:szCs w:val="20"/>
        </w:rPr>
        <w:t xml:space="preserve">(excluding leases) </w:t>
      </w:r>
      <w:r w:rsidR="00EA14BA">
        <w:rPr>
          <w:rFonts w:ascii="Arial" w:hAnsi="Arial" w:cs="Arial"/>
          <w:sz w:val="20"/>
          <w:szCs w:val="20"/>
        </w:rPr>
        <w:t xml:space="preserve">increased </w:t>
      </w:r>
      <w:r w:rsidR="00AB4AF0">
        <w:rPr>
          <w:rFonts w:ascii="Arial" w:hAnsi="Arial" w:cs="Arial"/>
          <w:sz w:val="20"/>
          <w:szCs w:val="20"/>
        </w:rPr>
        <w:t>from £1</w:t>
      </w:r>
      <w:r w:rsidR="00EA14BA">
        <w:rPr>
          <w:rFonts w:ascii="Arial" w:hAnsi="Arial" w:cs="Arial"/>
          <w:sz w:val="20"/>
          <w:szCs w:val="20"/>
        </w:rPr>
        <w:t>60.8</w:t>
      </w:r>
      <w:r w:rsidR="00AB4AF0">
        <w:rPr>
          <w:rFonts w:ascii="Arial" w:hAnsi="Arial" w:cs="Arial"/>
          <w:sz w:val="20"/>
          <w:szCs w:val="20"/>
        </w:rPr>
        <w:t xml:space="preserve"> million </w:t>
      </w:r>
      <w:r w:rsidR="00F14C20">
        <w:rPr>
          <w:rFonts w:ascii="Arial" w:hAnsi="Arial" w:cs="Arial"/>
          <w:sz w:val="20"/>
          <w:szCs w:val="20"/>
        </w:rPr>
        <w:t xml:space="preserve">as </w:t>
      </w:r>
      <w:proofErr w:type="gramStart"/>
      <w:r w:rsidR="00AB4AF0">
        <w:rPr>
          <w:rFonts w:ascii="Arial" w:hAnsi="Arial" w:cs="Arial"/>
          <w:sz w:val="20"/>
          <w:szCs w:val="20"/>
        </w:rPr>
        <w:t>at</w:t>
      </w:r>
      <w:proofErr w:type="gramEnd"/>
      <w:r w:rsidR="00AB4AF0">
        <w:rPr>
          <w:rFonts w:ascii="Arial" w:hAnsi="Arial" w:cs="Arial"/>
          <w:sz w:val="20"/>
          <w:szCs w:val="20"/>
        </w:rPr>
        <w:t xml:space="preserve"> </w:t>
      </w:r>
      <w:r w:rsidR="00EA14BA">
        <w:rPr>
          <w:rFonts w:ascii="Arial" w:hAnsi="Arial" w:cs="Arial"/>
          <w:sz w:val="20"/>
          <w:szCs w:val="20"/>
        </w:rPr>
        <w:t xml:space="preserve">31 March </w:t>
      </w:r>
      <w:r w:rsidR="00AB4AF0">
        <w:rPr>
          <w:rFonts w:ascii="Arial" w:hAnsi="Arial" w:cs="Arial"/>
          <w:sz w:val="20"/>
          <w:szCs w:val="20"/>
        </w:rPr>
        <w:t xml:space="preserve">2023 to </w:t>
      </w:r>
      <w:r w:rsidR="00ED0A3C">
        <w:rPr>
          <w:rFonts w:ascii="Arial" w:hAnsi="Arial" w:cs="Arial"/>
          <w:sz w:val="20"/>
          <w:szCs w:val="20"/>
        </w:rPr>
        <w:t>£17</w:t>
      </w:r>
      <w:r w:rsidR="00AB4AF0">
        <w:rPr>
          <w:rFonts w:ascii="Arial" w:hAnsi="Arial" w:cs="Arial"/>
          <w:sz w:val="20"/>
          <w:szCs w:val="20"/>
        </w:rPr>
        <w:t>6.6</w:t>
      </w:r>
      <w:r w:rsidR="00ED0A3C">
        <w:rPr>
          <w:rFonts w:ascii="Arial" w:hAnsi="Arial" w:cs="Arial"/>
          <w:sz w:val="20"/>
          <w:szCs w:val="20"/>
        </w:rPr>
        <w:t xml:space="preserve"> million</w:t>
      </w:r>
      <w:r w:rsidR="00AB4AF0">
        <w:rPr>
          <w:rFonts w:ascii="Arial" w:hAnsi="Arial" w:cs="Arial"/>
          <w:sz w:val="20"/>
          <w:szCs w:val="20"/>
        </w:rPr>
        <w:t xml:space="preserve"> </w:t>
      </w:r>
      <w:r w:rsidR="00F14C20">
        <w:rPr>
          <w:rFonts w:ascii="Arial" w:hAnsi="Arial" w:cs="Arial"/>
          <w:sz w:val="20"/>
          <w:szCs w:val="20"/>
        </w:rPr>
        <w:t xml:space="preserve">as </w:t>
      </w:r>
      <w:r w:rsidR="00AB4AF0">
        <w:rPr>
          <w:rFonts w:ascii="Arial" w:hAnsi="Arial" w:cs="Arial"/>
          <w:sz w:val="20"/>
          <w:szCs w:val="20"/>
        </w:rPr>
        <w:t>at 31</w:t>
      </w:r>
      <w:r w:rsidR="00AB4AF0">
        <w:rPr>
          <w:rFonts w:ascii="Arial" w:hAnsi="Arial" w:cs="Arial"/>
          <w:sz w:val="20"/>
          <w:szCs w:val="20"/>
          <w:vertAlign w:val="superscript"/>
        </w:rPr>
        <w:t xml:space="preserve"> </w:t>
      </w:r>
      <w:r w:rsidR="00AB4AF0">
        <w:rPr>
          <w:rFonts w:ascii="Arial" w:hAnsi="Arial" w:cs="Arial"/>
          <w:sz w:val="20"/>
          <w:szCs w:val="20"/>
        </w:rPr>
        <w:t xml:space="preserve">March </w:t>
      </w:r>
      <w:r w:rsidR="00E41506">
        <w:rPr>
          <w:rFonts w:ascii="Arial" w:hAnsi="Arial" w:cs="Arial"/>
          <w:sz w:val="20"/>
          <w:szCs w:val="20"/>
        </w:rPr>
        <w:t>2024</w:t>
      </w:r>
      <w:r w:rsidR="00EA14BA">
        <w:rPr>
          <w:rFonts w:ascii="Arial" w:hAnsi="Arial" w:cs="Arial"/>
          <w:sz w:val="20"/>
          <w:szCs w:val="20"/>
        </w:rPr>
        <w:t xml:space="preserve"> following £30.4 million </w:t>
      </w:r>
      <w:r w:rsidR="00485531">
        <w:rPr>
          <w:rFonts w:ascii="Arial" w:hAnsi="Arial" w:cs="Arial"/>
          <w:sz w:val="20"/>
          <w:szCs w:val="20"/>
        </w:rPr>
        <w:t xml:space="preserve">being </w:t>
      </w:r>
      <w:r w:rsidR="00EA14BA">
        <w:rPr>
          <w:rFonts w:ascii="Arial" w:hAnsi="Arial" w:cs="Arial"/>
          <w:sz w:val="20"/>
          <w:szCs w:val="20"/>
        </w:rPr>
        <w:t>deployed on M&amp;A</w:t>
      </w:r>
      <w:r w:rsidR="00485531">
        <w:rPr>
          <w:rFonts w:ascii="Arial" w:hAnsi="Arial" w:cs="Arial"/>
          <w:sz w:val="20"/>
          <w:szCs w:val="20"/>
        </w:rPr>
        <w:t xml:space="preserve"> </w:t>
      </w:r>
      <w:r w:rsidR="00485531" w:rsidRPr="00485531">
        <w:rPr>
          <w:rFonts w:ascii="Arial" w:hAnsi="Arial" w:cs="Arial"/>
          <w:sz w:val="20"/>
          <w:szCs w:val="20"/>
        </w:rPr>
        <w:t>(including purchase and repayment of subsidiary undertakings)</w:t>
      </w:r>
      <w:r w:rsidR="00485531">
        <w:rPr>
          <w:rFonts w:ascii="Arial" w:hAnsi="Arial" w:cs="Arial"/>
          <w:sz w:val="20"/>
          <w:szCs w:val="20"/>
        </w:rPr>
        <w:t xml:space="preserve"> in the first half of the year which was offset by the strong cash generation noted above</w:t>
      </w:r>
      <w:r w:rsidR="00135B77">
        <w:rPr>
          <w:rFonts w:ascii="Arial" w:hAnsi="Arial" w:cs="Arial"/>
          <w:sz w:val="20"/>
          <w:szCs w:val="20"/>
        </w:rPr>
        <w:t>.</w:t>
      </w:r>
      <w:r w:rsidR="00AB4AF0">
        <w:rPr>
          <w:rFonts w:ascii="Arial" w:hAnsi="Arial" w:cs="Arial"/>
          <w:sz w:val="20"/>
          <w:szCs w:val="20"/>
        </w:rPr>
        <w:t xml:space="preserve"> </w:t>
      </w:r>
      <w:r w:rsidR="005B339E" w:rsidRPr="005B339E">
        <w:rPr>
          <w:rFonts w:ascii="Arial" w:hAnsi="Arial" w:cs="Arial"/>
          <w:sz w:val="20"/>
          <w:szCs w:val="20"/>
        </w:rPr>
        <w:t xml:space="preserve">Following the completion of </w:t>
      </w:r>
      <w:r w:rsidR="00167229">
        <w:rPr>
          <w:rFonts w:ascii="Arial" w:hAnsi="Arial" w:cs="Arial"/>
          <w:sz w:val="20"/>
          <w:szCs w:val="20"/>
        </w:rPr>
        <w:t>t</w:t>
      </w:r>
      <w:r w:rsidR="005B339E">
        <w:rPr>
          <w:rFonts w:ascii="Arial" w:hAnsi="Arial" w:cs="Arial"/>
          <w:sz w:val="20"/>
          <w:szCs w:val="20"/>
        </w:rPr>
        <w:t xml:space="preserve">he Divestment </w:t>
      </w:r>
      <w:r w:rsidR="005B339E" w:rsidRPr="005B339E">
        <w:rPr>
          <w:rFonts w:ascii="Arial" w:hAnsi="Arial" w:cs="Arial"/>
          <w:sz w:val="20"/>
          <w:szCs w:val="20"/>
        </w:rPr>
        <w:t>and the return of £150 million via a special dividend</w:t>
      </w:r>
      <w:r w:rsidR="00930402">
        <w:rPr>
          <w:rFonts w:ascii="Arial" w:hAnsi="Arial" w:cs="Arial"/>
          <w:sz w:val="20"/>
          <w:szCs w:val="20"/>
        </w:rPr>
        <w:t xml:space="preserve"> paid on 5 July 2024</w:t>
      </w:r>
      <w:r w:rsidR="005B339E" w:rsidRPr="005B339E">
        <w:rPr>
          <w:rFonts w:ascii="Arial" w:hAnsi="Arial" w:cs="Arial"/>
          <w:sz w:val="20"/>
          <w:szCs w:val="20"/>
        </w:rPr>
        <w:t>, the Group h</w:t>
      </w:r>
      <w:r w:rsidR="00D915E9">
        <w:rPr>
          <w:rFonts w:ascii="Arial" w:hAnsi="Arial" w:cs="Arial"/>
          <w:sz w:val="20"/>
          <w:szCs w:val="20"/>
        </w:rPr>
        <w:t>as a material</w:t>
      </w:r>
      <w:r w:rsidR="005B339E" w:rsidRPr="005B339E">
        <w:rPr>
          <w:rFonts w:ascii="Arial" w:hAnsi="Arial" w:cs="Arial"/>
          <w:sz w:val="20"/>
          <w:szCs w:val="20"/>
        </w:rPr>
        <w:t xml:space="preserve"> net cash balance</w:t>
      </w:r>
      <w:r w:rsidR="00144B6E">
        <w:rPr>
          <w:rFonts w:ascii="Arial" w:hAnsi="Arial" w:cs="Arial"/>
          <w:sz w:val="20"/>
          <w:szCs w:val="20"/>
        </w:rPr>
        <w:t xml:space="preserve">. </w:t>
      </w:r>
    </w:p>
    <w:p w14:paraId="615C511F" w14:textId="7825A448" w:rsidR="00631AE2" w:rsidRPr="00811359" w:rsidRDefault="00D77F13" w:rsidP="00631AE2">
      <w:pPr>
        <w:jc w:val="both"/>
        <w:rPr>
          <w:rFonts w:ascii="Arial" w:hAnsi="Arial" w:cs="Arial"/>
          <w:b/>
          <w:bCs/>
          <w:sz w:val="20"/>
          <w:szCs w:val="20"/>
        </w:rPr>
      </w:pPr>
      <w:r>
        <w:rPr>
          <w:rFonts w:ascii="Arial" w:hAnsi="Arial" w:cs="Arial"/>
          <w:b/>
          <w:bCs/>
          <w:sz w:val="20"/>
          <w:szCs w:val="20"/>
        </w:rPr>
        <w:lastRenderedPageBreak/>
        <w:t>A</w:t>
      </w:r>
      <w:r w:rsidR="00CD396E">
        <w:rPr>
          <w:rFonts w:ascii="Arial" w:hAnsi="Arial" w:cs="Arial"/>
          <w:b/>
          <w:bCs/>
          <w:sz w:val="20"/>
          <w:szCs w:val="20"/>
        </w:rPr>
        <w:t>ttractive and r</w:t>
      </w:r>
      <w:r w:rsidR="00631AE2" w:rsidRPr="00811359">
        <w:rPr>
          <w:rFonts w:ascii="Arial" w:hAnsi="Arial" w:cs="Arial"/>
          <w:b/>
          <w:bCs/>
          <w:sz w:val="20"/>
          <w:szCs w:val="20"/>
        </w:rPr>
        <w:t>esilient business model</w:t>
      </w:r>
    </w:p>
    <w:p w14:paraId="38FD5AA8" w14:textId="252F248D" w:rsidR="001246F0" w:rsidRDefault="00D96347" w:rsidP="00631AE2">
      <w:pPr>
        <w:jc w:val="both"/>
        <w:rPr>
          <w:rStyle w:val="ads"/>
          <w:rFonts w:ascii="Arial" w:eastAsia="Times New Roman" w:hAnsi="Arial" w:cs="Arial"/>
          <w:color w:val="000000"/>
          <w:sz w:val="20"/>
          <w:szCs w:val="20"/>
          <w:lang w:eastAsia="en-GB"/>
        </w:rPr>
      </w:pPr>
      <w:r>
        <w:rPr>
          <w:rStyle w:val="ads"/>
          <w:rFonts w:ascii="Arial" w:eastAsia="Times New Roman" w:hAnsi="Arial" w:cs="Arial"/>
          <w:color w:val="000000"/>
          <w:sz w:val="20"/>
          <w:szCs w:val="20"/>
          <w:lang w:eastAsia="en-GB"/>
        </w:rPr>
        <w:t>The compliance market</w:t>
      </w:r>
      <w:r w:rsidR="006849CC">
        <w:rPr>
          <w:rStyle w:val="ads"/>
          <w:rFonts w:ascii="Arial" w:eastAsia="Times New Roman" w:hAnsi="Arial" w:cs="Arial"/>
          <w:color w:val="000000"/>
          <w:sz w:val="20"/>
          <w:szCs w:val="20"/>
          <w:lang w:eastAsia="en-GB"/>
        </w:rPr>
        <w:t>s</w:t>
      </w:r>
      <w:r>
        <w:rPr>
          <w:rStyle w:val="ads"/>
          <w:rFonts w:ascii="Arial" w:eastAsia="Times New Roman" w:hAnsi="Arial" w:cs="Arial"/>
          <w:color w:val="000000"/>
          <w:sz w:val="20"/>
          <w:szCs w:val="20"/>
          <w:lang w:eastAsia="en-GB"/>
        </w:rPr>
        <w:t xml:space="preserve"> </w:t>
      </w:r>
      <w:r w:rsidR="006849CC">
        <w:rPr>
          <w:rStyle w:val="ads"/>
          <w:rFonts w:ascii="Arial" w:eastAsia="Times New Roman" w:hAnsi="Arial" w:cs="Arial"/>
          <w:color w:val="000000"/>
          <w:sz w:val="20"/>
          <w:szCs w:val="20"/>
          <w:lang w:eastAsia="en-GB"/>
        </w:rPr>
        <w:t xml:space="preserve">we </w:t>
      </w:r>
      <w:r w:rsidR="00C21A75">
        <w:rPr>
          <w:rStyle w:val="ads"/>
          <w:rFonts w:ascii="Arial" w:eastAsia="Times New Roman" w:hAnsi="Arial" w:cs="Arial"/>
          <w:color w:val="000000"/>
          <w:sz w:val="20"/>
          <w:szCs w:val="20"/>
          <w:lang w:eastAsia="en-GB"/>
        </w:rPr>
        <w:t xml:space="preserve">serve </w:t>
      </w:r>
      <w:r w:rsidR="00631AE2" w:rsidRPr="0077073D">
        <w:rPr>
          <w:rStyle w:val="ads"/>
          <w:rFonts w:ascii="Arial" w:eastAsia="Times New Roman" w:hAnsi="Arial" w:cs="Arial"/>
          <w:color w:val="000000"/>
          <w:sz w:val="20"/>
          <w:szCs w:val="20"/>
          <w:lang w:eastAsia="en-GB"/>
        </w:rPr>
        <w:t>are underpinned by regulation and</w:t>
      </w:r>
      <w:r w:rsidR="00FA1855" w:rsidRPr="0077073D">
        <w:rPr>
          <w:rStyle w:val="ads"/>
          <w:rFonts w:ascii="Arial" w:eastAsia="Times New Roman" w:hAnsi="Arial" w:cs="Arial"/>
          <w:color w:val="000000"/>
          <w:sz w:val="20"/>
          <w:szCs w:val="20"/>
          <w:lang w:eastAsia="en-GB"/>
        </w:rPr>
        <w:t xml:space="preserve"> are</w:t>
      </w:r>
      <w:r w:rsidR="00631AE2" w:rsidRPr="0077073D">
        <w:rPr>
          <w:rStyle w:val="ads"/>
          <w:rFonts w:ascii="Arial" w:eastAsia="Times New Roman" w:hAnsi="Arial" w:cs="Arial"/>
          <w:color w:val="000000"/>
          <w:sz w:val="20"/>
          <w:szCs w:val="20"/>
          <w:lang w:eastAsia="en-GB"/>
        </w:rPr>
        <w:t xml:space="preserve"> therefore predominantly non-discretionary </w:t>
      </w:r>
      <w:r w:rsidR="00C21A75">
        <w:rPr>
          <w:rStyle w:val="ads"/>
          <w:rFonts w:ascii="Arial" w:eastAsia="Times New Roman" w:hAnsi="Arial" w:cs="Arial"/>
          <w:color w:val="000000"/>
          <w:sz w:val="20"/>
          <w:szCs w:val="20"/>
          <w:lang w:eastAsia="en-GB"/>
        </w:rPr>
        <w:t xml:space="preserve">to our customers </w:t>
      </w:r>
      <w:r w:rsidR="00631AE2" w:rsidRPr="0077073D">
        <w:rPr>
          <w:rStyle w:val="ads"/>
          <w:rFonts w:ascii="Arial" w:eastAsia="Times New Roman" w:hAnsi="Arial" w:cs="Arial"/>
          <w:color w:val="000000"/>
          <w:sz w:val="20"/>
          <w:szCs w:val="20"/>
          <w:lang w:eastAsia="en-GB"/>
        </w:rPr>
        <w:t>and essential throughout the economic cycle.</w:t>
      </w:r>
      <w:r w:rsidR="00DC3542">
        <w:rPr>
          <w:rStyle w:val="ads"/>
          <w:rFonts w:ascii="Arial" w:eastAsia="Times New Roman" w:hAnsi="Arial" w:cs="Arial"/>
          <w:color w:val="000000"/>
          <w:sz w:val="20"/>
          <w:szCs w:val="20"/>
          <w:lang w:eastAsia="en-GB"/>
        </w:rPr>
        <w:t xml:space="preserve"> </w:t>
      </w:r>
      <w:r w:rsidR="001246F0">
        <w:rPr>
          <w:rStyle w:val="ads"/>
          <w:rFonts w:ascii="Arial" w:eastAsia="Times New Roman" w:hAnsi="Arial" w:cs="Arial"/>
          <w:color w:val="000000"/>
          <w:sz w:val="20"/>
          <w:szCs w:val="20"/>
          <w:lang w:eastAsia="en-GB"/>
        </w:rPr>
        <w:t xml:space="preserve">An estimated </w:t>
      </w:r>
      <w:r w:rsidR="002E5873">
        <w:rPr>
          <w:rStyle w:val="ads"/>
          <w:rFonts w:ascii="Arial" w:eastAsia="Times New Roman" w:hAnsi="Arial" w:cs="Arial"/>
          <w:color w:val="000000"/>
          <w:sz w:val="20"/>
          <w:szCs w:val="20"/>
          <w:lang w:eastAsia="en-GB"/>
        </w:rPr>
        <w:t>80</w:t>
      </w:r>
      <w:r w:rsidR="001246F0">
        <w:rPr>
          <w:rStyle w:val="ads"/>
          <w:rFonts w:ascii="Arial" w:eastAsia="Times New Roman" w:hAnsi="Arial" w:cs="Arial"/>
          <w:color w:val="000000"/>
          <w:sz w:val="20"/>
          <w:szCs w:val="20"/>
          <w:lang w:eastAsia="en-GB"/>
        </w:rPr>
        <w:t xml:space="preserve">% of our revenues are recurring with customers typically contracted on </w:t>
      </w:r>
      <w:r w:rsidR="001542B3">
        <w:rPr>
          <w:rStyle w:val="ads"/>
          <w:rFonts w:ascii="Arial" w:eastAsia="Times New Roman" w:hAnsi="Arial" w:cs="Arial"/>
          <w:color w:val="000000"/>
          <w:sz w:val="20"/>
          <w:szCs w:val="20"/>
          <w:lang w:eastAsia="en-GB"/>
        </w:rPr>
        <w:t>3-to-5-year</w:t>
      </w:r>
      <w:r w:rsidR="001246F0">
        <w:rPr>
          <w:rStyle w:val="ads"/>
          <w:rFonts w:ascii="Arial" w:eastAsia="Times New Roman" w:hAnsi="Arial" w:cs="Arial"/>
          <w:color w:val="000000"/>
          <w:sz w:val="20"/>
          <w:szCs w:val="20"/>
          <w:lang w:eastAsia="en-GB"/>
        </w:rPr>
        <w:t xml:space="preserve"> </w:t>
      </w:r>
      <w:r w:rsidR="00C21A75">
        <w:rPr>
          <w:rStyle w:val="ads"/>
          <w:rFonts w:ascii="Arial" w:eastAsia="Times New Roman" w:hAnsi="Arial" w:cs="Arial"/>
          <w:color w:val="000000"/>
          <w:sz w:val="20"/>
          <w:szCs w:val="20"/>
          <w:lang w:eastAsia="en-GB"/>
        </w:rPr>
        <w:t xml:space="preserve">agreements, </w:t>
      </w:r>
      <w:r w:rsidR="001246F0">
        <w:rPr>
          <w:rStyle w:val="ads"/>
          <w:rFonts w:ascii="Arial" w:eastAsia="Times New Roman" w:hAnsi="Arial" w:cs="Arial"/>
          <w:color w:val="000000"/>
          <w:sz w:val="20"/>
          <w:szCs w:val="20"/>
          <w:lang w:eastAsia="en-GB"/>
        </w:rPr>
        <w:t xml:space="preserve">providing </w:t>
      </w:r>
      <w:r w:rsidR="00C21A75">
        <w:rPr>
          <w:rStyle w:val="ads"/>
          <w:rFonts w:ascii="Arial" w:eastAsia="Times New Roman" w:hAnsi="Arial" w:cs="Arial"/>
          <w:color w:val="000000"/>
          <w:sz w:val="20"/>
          <w:szCs w:val="20"/>
          <w:lang w:eastAsia="en-GB"/>
        </w:rPr>
        <w:t xml:space="preserve">us with </w:t>
      </w:r>
      <w:r w:rsidR="001246F0">
        <w:rPr>
          <w:rStyle w:val="ads"/>
          <w:rFonts w:ascii="Arial" w:eastAsia="Times New Roman" w:hAnsi="Arial" w:cs="Arial"/>
          <w:color w:val="000000"/>
          <w:sz w:val="20"/>
          <w:szCs w:val="20"/>
          <w:lang w:eastAsia="en-GB"/>
        </w:rPr>
        <w:t xml:space="preserve">secure and highly visible revenue streams. </w:t>
      </w:r>
    </w:p>
    <w:p w14:paraId="079D21B2" w14:textId="3091AF4B" w:rsidR="008B4257" w:rsidRDefault="006849CC" w:rsidP="00631AE2">
      <w:pPr>
        <w:jc w:val="both"/>
        <w:rPr>
          <w:rStyle w:val="ads"/>
          <w:rFonts w:ascii="Arial" w:eastAsia="Times New Roman" w:hAnsi="Arial" w:cs="Arial"/>
          <w:color w:val="000000"/>
          <w:sz w:val="20"/>
          <w:szCs w:val="20"/>
          <w:lang w:eastAsia="en-GB"/>
        </w:rPr>
      </w:pPr>
      <w:r w:rsidRPr="006849CC">
        <w:rPr>
          <w:rStyle w:val="ads"/>
          <w:rFonts w:ascii="Arial" w:eastAsia="Times New Roman" w:hAnsi="Arial" w:cs="Arial"/>
          <w:color w:val="000000"/>
          <w:sz w:val="20"/>
          <w:szCs w:val="20"/>
          <w:lang w:eastAsia="en-GB"/>
        </w:rPr>
        <w:t xml:space="preserve">Each of our markets have structural growth characteristics and benefit from onerous and evolving regulations with increasing enforcement action from regulators. Compliance </w:t>
      </w:r>
      <w:r w:rsidR="00C21A75">
        <w:rPr>
          <w:rStyle w:val="ads"/>
          <w:rFonts w:ascii="Arial" w:eastAsia="Times New Roman" w:hAnsi="Arial" w:cs="Arial"/>
          <w:color w:val="000000"/>
          <w:sz w:val="20"/>
          <w:szCs w:val="20"/>
          <w:lang w:eastAsia="en-GB"/>
        </w:rPr>
        <w:t xml:space="preserve">spending </w:t>
      </w:r>
      <w:r w:rsidRPr="006849CC">
        <w:rPr>
          <w:rStyle w:val="ads"/>
          <w:rFonts w:ascii="Arial" w:eastAsia="Times New Roman" w:hAnsi="Arial" w:cs="Arial"/>
          <w:color w:val="000000"/>
          <w:sz w:val="20"/>
          <w:szCs w:val="20"/>
          <w:lang w:eastAsia="en-GB"/>
        </w:rPr>
        <w:t>continue</w:t>
      </w:r>
      <w:r w:rsidR="00C21A75">
        <w:rPr>
          <w:rStyle w:val="ads"/>
          <w:rFonts w:ascii="Arial" w:eastAsia="Times New Roman" w:hAnsi="Arial" w:cs="Arial"/>
          <w:color w:val="000000"/>
          <w:sz w:val="20"/>
          <w:szCs w:val="20"/>
          <w:lang w:eastAsia="en-GB"/>
        </w:rPr>
        <w:t xml:space="preserve">s </w:t>
      </w:r>
      <w:r w:rsidRPr="006849CC">
        <w:rPr>
          <w:rStyle w:val="ads"/>
          <w:rFonts w:ascii="Arial" w:eastAsia="Times New Roman" w:hAnsi="Arial" w:cs="Arial"/>
          <w:color w:val="000000"/>
          <w:sz w:val="20"/>
          <w:szCs w:val="20"/>
          <w:lang w:eastAsia="en-GB"/>
        </w:rPr>
        <w:t xml:space="preserve">to grow at attractive rates from the increasing focus on ESG and </w:t>
      </w:r>
      <w:r w:rsidR="00326DD4">
        <w:rPr>
          <w:rStyle w:val="ads"/>
          <w:rFonts w:ascii="Arial" w:eastAsia="Times New Roman" w:hAnsi="Arial" w:cs="Arial"/>
          <w:color w:val="000000"/>
          <w:sz w:val="20"/>
          <w:szCs w:val="20"/>
          <w:lang w:eastAsia="en-GB"/>
        </w:rPr>
        <w:t xml:space="preserve">the </w:t>
      </w:r>
      <w:r w:rsidRPr="006849CC">
        <w:rPr>
          <w:rStyle w:val="ads"/>
          <w:rFonts w:ascii="Arial" w:eastAsia="Times New Roman" w:hAnsi="Arial" w:cs="Arial"/>
          <w:color w:val="000000"/>
          <w:sz w:val="20"/>
          <w:szCs w:val="20"/>
          <w:lang w:eastAsia="en-GB"/>
        </w:rPr>
        <w:t>health &amp; safety and wellbeing of staff.</w:t>
      </w:r>
      <w:r>
        <w:rPr>
          <w:rStyle w:val="ads"/>
          <w:rFonts w:ascii="Arial" w:eastAsia="Times New Roman" w:hAnsi="Arial" w:cs="Arial"/>
          <w:color w:val="000000"/>
          <w:sz w:val="20"/>
          <w:szCs w:val="20"/>
          <w:lang w:eastAsia="en-GB"/>
        </w:rPr>
        <w:t xml:space="preserve"> </w:t>
      </w:r>
    </w:p>
    <w:p w14:paraId="69099CC5" w14:textId="674D0A95" w:rsidR="00631AE2" w:rsidRPr="0077073D" w:rsidRDefault="00631AE2" w:rsidP="00631AE2">
      <w:pPr>
        <w:jc w:val="both"/>
        <w:rPr>
          <w:rFonts w:ascii="Arial" w:eastAsia="Times New Roman" w:hAnsi="Arial" w:cs="Arial"/>
          <w:color w:val="000000"/>
          <w:sz w:val="20"/>
          <w:szCs w:val="20"/>
          <w:lang w:eastAsia="en-GB"/>
        </w:rPr>
      </w:pPr>
      <w:r w:rsidRPr="0077073D">
        <w:rPr>
          <w:rStyle w:val="ads"/>
          <w:rFonts w:ascii="Arial" w:eastAsia="Times New Roman" w:hAnsi="Arial" w:cs="Arial"/>
          <w:color w:val="000000"/>
          <w:sz w:val="20"/>
          <w:szCs w:val="20"/>
          <w:lang w:eastAsia="en-GB"/>
        </w:rPr>
        <w:t xml:space="preserve">The Group has low customer concentration and </w:t>
      </w:r>
      <w:r w:rsidR="00C21A75">
        <w:rPr>
          <w:rStyle w:val="ads"/>
          <w:rFonts w:ascii="Arial" w:eastAsia="Times New Roman" w:hAnsi="Arial" w:cs="Arial"/>
          <w:color w:val="000000"/>
          <w:sz w:val="20"/>
          <w:szCs w:val="20"/>
          <w:lang w:eastAsia="en-GB"/>
        </w:rPr>
        <w:t xml:space="preserve">operates </w:t>
      </w:r>
      <w:r w:rsidR="003F1866" w:rsidRPr="0077073D">
        <w:rPr>
          <w:rStyle w:val="ads"/>
          <w:rFonts w:ascii="Arial" w:eastAsia="Times New Roman" w:hAnsi="Arial" w:cs="Arial"/>
          <w:color w:val="000000"/>
          <w:sz w:val="20"/>
          <w:szCs w:val="20"/>
          <w:lang w:eastAsia="en-GB"/>
        </w:rPr>
        <w:t>across a broad range of sectors</w:t>
      </w:r>
      <w:r w:rsidRPr="0077073D">
        <w:rPr>
          <w:rStyle w:val="ads"/>
          <w:rFonts w:ascii="Arial" w:eastAsia="Times New Roman" w:hAnsi="Arial" w:cs="Arial"/>
          <w:color w:val="000000"/>
          <w:sz w:val="20"/>
          <w:szCs w:val="20"/>
          <w:lang w:eastAsia="en-GB"/>
        </w:rPr>
        <w:t xml:space="preserve">. We serve </w:t>
      </w:r>
      <w:r w:rsidR="00D96347">
        <w:rPr>
          <w:rStyle w:val="ads"/>
          <w:rFonts w:ascii="Arial" w:eastAsia="Times New Roman" w:hAnsi="Arial" w:cs="Arial"/>
          <w:color w:val="000000"/>
          <w:sz w:val="20"/>
          <w:szCs w:val="20"/>
          <w:lang w:eastAsia="en-GB"/>
        </w:rPr>
        <w:t xml:space="preserve">30,000 </w:t>
      </w:r>
      <w:r w:rsidRPr="0077073D">
        <w:rPr>
          <w:rStyle w:val="ads"/>
          <w:rFonts w:ascii="Arial" w:eastAsia="Times New Roman" w:hAnsi="Arial" w:cs="Arial"/>
          <w:color w:val="000000"/>
          <w:sz w:val="20"/>
          <w:szCs w:val="20"/>
          <w:lang w:eastAsia="en-GB"/>
        </w:rPr>
        <w:t xml:space="preserve">customers from </w:t>
      </w:r>
      <w:r w:rsidR="005618CA" w:rsidRPr="0077073D">
        <w:rPr>
          <w:rStyle w:val="ads"/>
          <w:rFonts w:ascii="Arial" w:eastAsia="Times New Roman" w:hAnsi="Arial" w:cs="Arial"/>
          <w:color w:val="000000"/>
          <w:sz w:val="20"/>
          <w:szCs w:val="20"/>
          <w:lang w:eastAsia="en-GB"/>
        </w:rPr>
        <w:t xml:space="preserve">SMEs to large multinationals </w:t>
      </w:r>
      <w:r w:rsidR="00C21A75">
        <w:rPr>
          <w:rStyle w:val="ads"/>
          <w:rFonts w:ascii="Arial" w:eastAsia="Times New Roman" w:hAnsi="Arial" w:cs="Arial"/>
          <w:color w:val="000000"/>
          <w:sz w:val="20"/>
          <w:szCs w:val="20"/>
          <w:lang w:eastAsia="en-GB"/>
        </w:rPr>
        <w:t xml:space="preserve">and </w:t>
      </w:r>
      <w:r w:rsidR="005618CA" w:rsidRPr="0077073D">
        <w:rPr>
          <w:rStyle w:val="ads"/>
          <w:rFonts w:ascii="Arial" w:eastAsia="Times New Roman" w:hAnsi="Arial" w:cs="Arial"/>
          <w:color w:val="000000"/>
          <w:sz w:val="20"/>
          <w:szCs w:val="20"/>
          <w:lang w:eastAsia="en-GB"/>
        </w:rPr>
        <w:t>public sector organisations</w:t>
      </w:r>
      <w:r w:rsidRPr="0077073D">
        <w:rPr>
          <w:rStyle w:val="ads"/>
          <w:rFonts w:ascii="Arial" w:eastAsia="Times New Roman" w:hAnsi="Arial" w:cs="Arial"/>
          <w:color w:val="000000"/>
          <w:sz w:val="20"/>
          <w:szCs w:val="20"/>
          <w:lang w:eastAsia="en-GB"/>
        </w:rPr>
        <w:t xml:space="preserve">, with no customer </w:t>
      </w:r>
      <w:r w:rsidR="002F5214">
        <w:rPr>
          <w:rStyle w:val="ads"/>
          <w:rFonts w:ascii="Arial" w:eastAsia="Times New Roman" w:hAnsi="Arial" w:cs="Arial"/>
          <w:color w:val="000000"/>
          <w:sz w:val="20"/>
          <w:szCs w:val="20"/>
          <w:lang w:eastAsia="en-GB"/>
        </w:rPr>
        <w:t>representing more</w:t>
      </w:r>
      <w:r w:rsidRPr="0077073D">
        <w:rPr>
          <w:rStyle w:val="ads"/>
          <w:rFonts w:ascii="Arial" w:eastAsia="Times New Roman" w:hAnsi="Arial" w:cs="Arial"/>
          <w:color w:val="000000"/>
          <w:sz w:val="20"/>
          <w:szCs w:val="20"/>
          <w:lang w:eastAsia="en-GB"/>
        </w:rPr>
        <w:t xml:space="preserve"> than </w:t>
      </w:r>
      <w:r w:rsidR="002E5873">
        <w:rPr>
          <w:rStyle w:val="ads"/>
          <w:rFonts w:ascii="Arial" w:eastAsia="Times New Roman" w:hAnsi="Arial" w:cs="Arial"/>
          <w:color w:val="000000"/>
          <w:sz w:val="20"/>
          <w:szCs w:val="20"/>
          <w:lang w:eastAsia="en-GB"/>
        </w:rPr>
        <w:t>4</w:t>
      </w:r>
      <w:r w:rsidR="00FA1855" w:rsidRPr="0077073D">
        <w:rPr>
          <w:rStyle w:val="ads"/>
          <w:rFonts w:ascii="Arial" w:eastAsia="Times New Roman" w:hAnsi="Arial" w:cs="Arial"/>
          <w:color w:val="000000"/>
          <w:sz w:val="20"/>
          <w:szCs w:val="20"/>
          <w:lang w:eastAsia="en-GB"/>
        </w:rPr>
        <w:t xml:space="preserve">% </w:t>
      </w:r>
      <w:r w:rsidRPr="0077073D">
        <w:rPr>
          <w:rStyle w:val="ads"/>
          <w:rFonts w:ascii="Arial" w:eastAsia="Times New Roman" w:hAnsi="Arial" w:cs="Arial"/>
          <w:color w:val="000000"/>
          <w:sz w:val="20"/>
          <w:szCs w:val="20"/>
          <w:lang w:eastAsia="en-GB"/>
        </w:rPr>
        <w:t xml:space="preserve">of </w:t>
      </w:r>
      <w:r w:rsidR="0083220C">
        <w:rPr>
          <w:rStyle w:val="ads"/>
          <w:rFonts w:ascii="Arial" w:eastAsia="Times New Roman" w:hAnsi="Arial" w:cs="Arial"/>
          <w:color w:val="000000"/>
          <w:sz w:val="20"/>
          <w:szCs w:val="20"/>
          <w:lang w:eastAsia="en-GB"/>
        </w:rPr>
        <w:t xml:space="preserve">Group </w:t>
      </w:r>
      <w:r w:rsidRPr="0077073D">
        <w:rPr>
          <w:rStyle w:val="ads"/>
          <w:rFonts w:ascii="Arial" w:eastAsia="Times New Roman" w:hAnsi="Arial" w:cs="Arial"/>
          <w:color w:val="000000"/>
          <w:sz w:val="20"/>
          <w:szCs w:val="20"/>
          <w:lang w:eastAsia="en-GB"/>
        </w:rPr>
        <w:t>revenues.</w:t>
      </w:r>
    </w:p>
    <w:p w14:paraId="3B8FA751" w14:textId="5DC3D20A" w:rsidR="00631AE2" w:rsidRDefault="00326DD4" w:rsidP="00631AE2">
      <w:pPr>
        <w:jc w:val="both"/>
        <w:rPr>
          <w:rFonts w:ascii="Arial" w:hAnsi="Arial" w:cs="Arial"/>
          <w:b/>
          <w:bCs/>
          <w:sz w:val="20"/>
          <w:szCs w:val="20"/>
        </w:rPr>
      </w:pPr>
      <w:r>
        <w:rPr>
          <w:rFonts w:ascii="Arial" w:hAnsi="Arial" w:cs="Arial"/>
          <w:b/>
          <w:bCs/>
          <w:sz w:val="20"/>
          <w:szCs w:val="20"/>
        </w:rPr>
        <w:t>Strong balance sheet and d</w:t>
      </w:r>
      <w:r w:rsidR="00631AE2" w:rsidRPr="00811359">
        <w:rPr>
          <w:rFonts w:ascii="Arial" w:hAnsi="Arial" w:cs="Arial"/>
          <w:b/>
          <w:bCs/>
          <w:sz w:val="20"/>
          <w:szCs w:val="20"/>
        </w:rPr>
        <w:t xml:space="preserve">isciplined approach to </w:t>
      </w:r>
      <w:r w:rsidR="00ED69F7">
        <w:rPr>
          <w:rFonts w:ascii="Arial" w:hAnsi="Arial" w:cs="Arial"/>
          <w:b/>
          <w:bCs/>
          <w:sz w:val="20"/>
          <w:szCs w:val="20"/>
        </w:rPr>
        <w:t xml:space="preserve">capital allocation </w:t>
      </w:r>
    </w:p>
    <w:p w14:paraId="3BFA0633" w14:textId="3A2144A7" w:rsidR="00004D2F" w:rsidRDefault="00004D2F" w:rsidP="00631AE2">
      <w:pPr>
        <w:jc w:val="both"/>
        <w:rPr>
          <w:rFonts w:ascii="Arial" w:hAnsi="Arial" w:cs="Arial"/>
          <w:sz w:val="20"/>
          <w:szCs w:val="20"/>
        </w:rPr>
      </w:pPr>
      <w:r>
        <w:rPr>
          <w:rFonts w:ascii="Arial" w:hAnsi="Arial" w:cs="Arial"/>
          <w:sz w:val="20"/>
          <w:szCs w:val="20"/>
        </w:rPr>
        <w:t>We completed five acquisitions in the</w:t>
      </w:r>
      <w:r w:rsidR="003A68DC">
        <w:rPr>
          <w:rFonts w:ascii="Arial" w:hAnsi="Arial" w:cs="Arial"/>
          <w:sz w:val="20"/>
          <w:szCs w:val="20"/>
        </w:rPr>
        <w:t xml:space="preserve"> first half of the</w:t>
      </w:r>
      <w:r>
        <w:rPr>
          <w:rFonts w:ascii="Arial" w:hAnsi="Arial" w:cs="Arial"/>
          <w:sz w:val="20"/>
          <w:szCs w:val="20"/>
        </w:rPr>
        <w:t xml:space="preserve"> year for a total </w:t>
      </w:r>
      <w:r w:rsidR="009A70F6">
        <w:rPr>
          <w:rFonts w:ascii="Arial" w:hAnsi="Arial" w:cs="Arial"/>
          <w:sz w:val="20"/>
          <w:szCs w:val="20"/>
        </w:rPr>
        <w:t xml:space="preserve">enterprise value </w:t>
      </w:r>
      <w:r>
        <w:rPr>
          <w:rFonts w:ascii="Arial" w:hAnsi="Arial" w:cs="Arial"/>
          <w:sz w:val="20"/>
          <w:szCs w:val="20"/>
        </w:rPr>
        <w:t xml:space="preserve">of </w:t>
      </w:r>
      <w:r w:rsidR="009A70F6">
        <w:rPr>
          <w:rFonts w:ascii="Arial" w:hAnsi="Arial" w:cs="Arial"/>
          <w:sz w:val="20"/>
          <w:szCs w:val="20"/>
        </w:rPr>
        <w:t>£37</w:t>
      </w:r>
      <w:r>
        <w:rPr>
          <w:rFonts w:ascii="Arial" w:hAnsi="Arial" w:cs="Arial"/>
          <w:sz w:val="20"/>
          <w:szCs w:val="20"/>
        </w:rPr>
        <w:t xml:space="preserve"> million. Our largest acquisition was IMSM which </w:t>
      </w:r>
      <w:r w:rsidR="00C21A75">
        <w:rPr>
          <w:rFonts w:ascii="Arial" w:hAnsi="Arial" w:cs="Arial"/>
          <w:sz w:val="20"/>
          <w:szCs w:val="20"/>
        </w:rPr>
        <w:t>was</w:t>
      </w:r>
      <w:r>
        <w:rPr>
          <w:rFonts w:ascii="Arial" w:hAnsi="Arial" w:cs="Arial"/>
          <w:sz w:val="20"/>
          <w:szCs w:val="20"/>
        </w:rPr>
        <w:t xml:space="preserve"> subsequently </w:t>
      </w:r>
      <w:r w:rsidR="00297C0C">
        <w:rPr>
          <w:rFonts w:ascii="Arial" w:hAnsi="Arial" w:cs="Arial"/>
          <w:sz w:val="20"/>
          <w:szCs w:val="20"/>
        </w:rPr>
        <w:t xml:space="preserve">disposed </w:t>
      </w:r>
      <w:r>
        <w:rPr>
          <w:rFonts w:ascii="Arial" w:hAnsi="Arial" w:cs="Arial"/>
          <w:sz w:val="20"/>
          <w:szCs w:val="20"/>
        </w:rPr>
        <w:t xml:space="preserve">of as part of </w:t>
      </w:r>
      <w:r w:rsidR="00DE3D9D">
        <w:rPr>
          <w:rFonts w:ascii="Arial" w:hAnsi="Arial" w:cs="Arial"/>
          <w:sz w:val="20"/>
          <w:szCs w:val="20"/>
        </w:rPr>
        <w:t>t</w:t>
      </w:r>
      <w:r>
        <w:rPr>
          <w:rFonts w:ascii="Arial" w:hAnsi="Arial" w:cs="Arial"/>
          <w:sz w:val="20"/>
          <w:szCs w:val="20"/>
        </w:rPr>
        <w:t xml:space="preserve">he Divestment. We completed four bolt on-acquisitions within our Fire Safety &amp; Security business for </w:t>
      </w:r>
      <w:r w:rsidR="009A70F6">
        <w:rPr>
          <w:rFonts w:ascii="Arial" w:hAnsi="Arial" w:cs="Arial"/>
          <w:sz w:val="20"/>
          <w:szCs w:val="20"/>
        </w:rPr>
        <w:t>an enterprise value</w:t>
      </w:r>
      <w:r>
        <w:rPr>
          <w:rFonts w:ascii="Arial" w:hAnsi="Arial" w:cs="Arial"/>
          <w:sz w:val="20"/>
          <w:szCs w:val="20"/>
        </w:rPr>
        <w:t xml:space="preserve"> of £1</w:t>
      </w:r>
      <w:r w:rsidR="009A70F6">
        <w:rPr>
          <w:rFonts w:ascii="Arial" w:hAnsi="Arial" w:cs="Arial"/>
          <w:sz w:val="20"/>
          <w:szCs w:val="20"/>
        </w:rPr>
        <w:t>6</w:t>
      </w:r>
      <w:r w:rsidR="00CF2206">
        <w:rPr>
          <w:rFonts w:ascii="Arial" w:hAnsi="Arial" w:cs="Arial"/>
          <w:sz w:val="20"/>
          <w:szCs w:val="20"/>
        </w:rPr>
        <w:t>.3</w:t>
      </w:r>
      <w:r>
        <w:rPr>
          <w:rFonts w:ascii="Arial" w:hAnsi="Arial" w:cs="Arial"/>
          <w:sz w:val="20"/>
          <w:szCs w:val="20"/>
        </w:rPr>
        <w:t xml:space="preserve"> million</w:t>
      </w:r>
      <w:r w:rsidR="00C21A75">
        <w:rPr>
          <w:rFonts w:ascii="Arial" w:hAnsi="Arial" w:cs="Arial"/>
          <w:sz w:val="20"/>
          <w:szCs w:val="20"/>
        </w:rPr>
        <w:t>,</w:t>
      </w:r>
      <w:r>
        <w:rPr>
          <w:rFonts w:ascii="Arial" w:hAnsi="Arial" w:cs="Arial"/>
          <w:sz w:val="20"/>
          <w:szCs w:val="20"/>
        </w:rPr>
        <w:t xml:space="preserve"> deepening our presence in this </w:t>
      </w:r>
      <w:r w:rsidR="00F14C20">
        <w:rPr>
          <w:rFonts w:ascii="Arial" w:hAnsi="Arial" w:cs="Arial"/>
          <w:sz w:val="20"/>
          <w:szCs w:val="20"/>
        </w:rPr>
        <w:t>attractive vertical</w:t>
      </w:r>
      <w:r>
        <w:rPr>
          <w:rFonts w:ascii="Arial" w:hAnsi="Arial" w:cs="Arial"/>
          <w:sz w:val="20"/>
          <w:szCs w:val="20"/>
        </w:rPr>
        <w:t xml:space="preserve">. </w:t>
      </w:r>
    </w:p>
    <w:p w14:paraId="0704F0B9" w14:textId="683C5488" w:rsidR="009C2CEB" w:rsidRDefault="00067F2F" w:rsidP="00631AE2">
      <w:pPr>
        <w:jc w:val="both"/>
        <w:rPr>
          <w:rFonts w:ascii="Arial" w:hAnsi="Arial" w:cs="Arial"/>
          <w:sz w:val="20"/>
          <w:szCs w:val="20"/>
        </w:rPr>
      </w:pPr>
      <w:r>
        <w:rPr>
          <w:rFonts w:ascii="Arial" w:hAnsi="Arial" w:cs="Arial"/>
          <w:sz w:val="20"/>
          <w:szCs w:val="20"/>
        </w:rPr>
        <w:t>T</w:t>
      </w:r>
      <w:r w:rsidR="009522BD" w:rsidRPr="009522BD">
        <w:rPr>
          <w:rFonts w:ascii="Arial" w:hAnsi="Arial" w:cs="Arial"/>
          <w:sz w:val="20"/>
          <w:szCs w:val="20"/>
        </w:rPr>
        <w:t xml:space="preserve">he Group </w:t>
      </w:r>
      <w:r w:rsidR="00167229">
        <w:rPr>
          <w:rFonts w:ascii="Arial" w:hAnsi="Arial" w:cs="Arial"/>
          <w:sz w:val="20"/>
          <w:szCs w:val="20"/>
        </w:rPr>
        <w:t xml:space="preserve">retained </w:t>
      </w:r>
      <w:r w:rsidR="008B4257">
        <w:rPr>
          <w:rFonts w:ascii="Arial" w:hAnsi="Arial" w:cs="Arial"/>
          <w:sz w:val="20"/>
          <w:szCs w:val="20"/>
        </w:rPr>
        <w:t>a</w:t>
      </w:r>
      <w:r w:rsidR="009A70F6">
        <w:rPr>
          <w:rFonts w:ascii="Arial" w:hAnsi="Arial" w:cs="Arial"/>
          <w:sz w:val="20"/>
          <w:szCs w:val="20"/>
        </w:rPr>
        <w:t xml:space="preserve"> material</w:t>
      </w:r>
      <w:r w:rsidR="009522BD" w:rsidRPr="009522BD">
        <w:rPr>
          <w:rFonts w:ascii="Arial" w:hAnsi="Arial" w:cs="Arial"/>
          <w:sz w:val="20"/>
          <w:szCs w:val="20"/>
        </w:rPr>
        <w:t xml:space="preserve"> net cash position </w:t>
      </w:r>
      <w:r w:rsidR="009C2CEB">
        <w:rPr>
          <w:rFonts w:ascii="Arial" w:hAnsi="Arial" w:cs="Arial"/>
          <w:sz w:val="20"/>
          <w:szCs w:val="20"/>
        </w:rPr>
        <w:t xml:space="preserve">following completion of the </w:t>
      </w:r>
      <w:r w:rsidR="000D4202">
        <w:rPr>
          <w:rFonts w:ascii="Arial" w:hAnsi="Arial" w:cs="Arial"/>
          <w:sz w:val="20"/>
          <w:szCs w:val="20"/>
        </w:rPr>
        <w:t>D</w:t>
      </w:r>
      <w:r w:rsidR="009C2CEB">
        <w:rPr>
          <w:rFonts w:ascii="Arial" w:hAnsi="Arial" w:cs="Arial"/>
          <w:sz w:val="20"/>
          <w:szCs w:val="20"/>
        </w:rPr>
        <w:t>ivestment</w:t>
      </w:r>
      <w:r w:rsidR="009C62DE">
        <w:rPr>
          <w:rFonts w:ascii="Arial" w:hAnsi="Arial" w:cs="Arial"/>
          <w:sz w:val="20"/>
          <w:szCs w:val="20"/>
        </w:rPr>
        <w:t xml:space="preserve">, </w:t>
      </w:r>
      <w:r w:rsidR="00135B77">
        <w:rPr>
          <w:rFonts w:ascii="Arial" w:hAnsi="Arial" w:cs="Arial"/>
          <w:sz w:val="20"/>
          <w:szCs w:val="20"/>
        </w:rPr>
        <w:t xml:space="preserve">the </w:t>
      </w:r>
      <w:r w:rsidR="009C62DE">
        <w:rPr>
          <w:rFonts w:ascii="Arial" w:hAnsi="Arial" w:cs="Arial"/>
          <w:sz w:val="20"/>
          <w:szCs w:val="20"/>
        </w:rPr>
        <w:t xml:space="preserve">retirement of the debt facility and </w:t>
      </w:r>
      <w:r w:rsidR="00135B77">
        <w:rPr>
          <w:rFonts w:ascii="Arial" w:hAnsi="Arial" w:cs="Arial"/>
          <w:sz w:val="20"/>
          <w:szCs w:val="20"/>
        </w:rPr>
        <w:t xml:space="preserve">the return of </w:t>
      </w:r>
      <w:r w:rsidR="009C62DE">
        <w:rPr>
          <w:rFonts w:ascii="Arial" w:hAnsi="Arial" w:cs="Arial"/>
          <w:sz w:val="20"/>
          <w:szCs w:val="20"/>
        </w:rPr>
        <w:t xml:space="preserve">£150 million </w:t>
      </w:r>
      <w:r w:rsidR="00135B77">
        <w:rPr>
          <w:rFonts w:ascii="Arial" w:hAnsi="Arial" w:cs="Arial"/>
          <w:sz w:val="20"/>
          <w:szCs w:val="20"/>
        </w:rPr>
        <w:t>to shareholder</w:t>
      </w:r>
      <w:r w:rsidR="00C21A75">
        <w:rPr>
          <w:rFonts w:ascii="Arial" w:hAnsi="Arial" w:cs="Arial"/>
          <w:sz w:val="20"/>
          <w:szCs w:val="20"/>
        </w:rPr>
        <w:t xml:space="preserve">s </w:t>
      </w:r>
      <w:r w:rsidR="00135B77">
        <w:rPr>
          <w:rFonts w:ascii="Arial" w:hAnsi="Arial" w:cs="Arial"/>
          <w:sz w:val="20"/>
          <w:szCs w:val="20"/>
        </w:rPr>
        <w:t xml:space="preserve">via a </w:t>
      </w:r>
      <w:r w:rsidR="009C62DE">
        <w:rPr>
          <w:rFonts w:ascii="Arial" w:hAnsi="Arial" w:cs="Arial"/>
          <w:sz w:val="20"/>
          <w:szCs w:val="20"/>
        </w:rPr>
        <w:t>special dividend</w:t>
      </w:r>
      <w:r w:rsidR="009522BD" w:rsidRPr="009522BD">
        <w:rPr>
          <w:rFonts w:ascii="Arial" w:hAnsi="Arial" w:cs="Arial"/>
          <w:sz w:val="20"/>
          <w:szCs w:val="20"/>
        </w:rPr>
        <w:t xml:space="preserve">. </w:t>
      </w:r>
      <w:r w:rsidR="009C2CEB" w:rsidRPr="009C2CEB">
        <w:rPr>
          <w:rFonts w:ascii="Arial" w:hAnsi="Arial" w:cs="Arial"/>
          <w:sz w:val="20"/>
          <w:szCs w:val="20"/>
        </w:rPr>
        <w:t xml:space="preserve">The Group </w:t>
      </w:r>
      <w:r w:rsidR="00B24DC0">
        <w:rPr>
          <w:rFonts w:ascii="Arial" w:hAnsi="Arial" w:cs="Arial"/>
          <w:sz w:val="20"/>
          <w:szCs w:val="20"/>
        </w:rPr>
        <w:t>will</w:t>
      </w:r>
      <w:r w:rsidR="008B4257">
        <w:rPr>
          <w:rFonts w:ascii="Arial" w:hAnsi="Arial" w:cs="Arial"/>
          <w:sz w:val="20"/>
          <w:szCs w:val="20"/>
        </w:rPr>
        <w:t xml:space="preserve"> return</w:t>
      </w:r>
      <w:r w:rsidR="009C2CEB" w:rsidRPr="009C2CEB">
        <w:rPr>
          <w:rFonts w:ascii="Arial" w:hAnsi="Arial" w:cs="Arial"/>
          <w:sz w:val="20"/>
          <w:szCs w:val="20"/>
        </w:rPr>
        <w:t xml:space="preserve"> </w:t>
      </w:r>
      <w:r w:rsidR="009C62DE">
        <w:rPr>
          <w:rFonts w:ascii="Arial" w:hAnsi="Arial" w:cs="Arial"/>
          <w:sz w:val="20"/>
          <w:szCs w:val="20"/>
        </w:rPr>
        <w:t xml:space="preserve">up to £75 million </w:t>
      </w:r>
      <w:r w:rsidR="001670E1">
        <w:rPr>
          <w:rFonts w:ascii="Arial" w:hAnsi="Arial" w:cs="Arial"/>
          <w:sz w:val="20"/>
          <w:szCs w:val="20"/>
        </w:rPr>
        <w:t xml:space="preserve">of further capital </w:t>
      </w:r>
      <w:r w:rsidR="009C62DE">
        <w:rPr>
          <w:rFonts w:ascii="Arial" w:hAnsi="Arial" w:cs="Arial"/>
          <w:sz w:val="20"/>
          <w:szCs w:val="20"/>
        </w:rPr>
        <w:t xml:space="preserve">via a </w:t>
      </w:r>
      <w:r w:rsidR="009C2CEB" w:rsidRPr="009C2CEB">
        <w:rPr>
          <w:rFonts w:ascii="Arial" w:hAnsi="Arial" w:cs="Arial"/>
          <w:sz w:val="20"/>
          <w:szCs w:val="20"/>
        </w:rPr>
        <w:t xml:space="preserve">share buyback programme </w:t>
      </w:r>
      <w:r w:rsidR="00167229">
        <w:rPr>
          <w:rFonts w:ascii="Arial" w:hAnsi="Arial" w:cs="Arial"/>
          <w:sz w:val="20"/>
          <w:szCs w:val="20"/>
        </w:rPr>
        <w:t xml:space="preserve">and this </w:t>
      </w:r>
      <w:r w:rsidR="001670E1">
        <w:rPr>
          <w:rFonts w:ascii="Arial" w:hAnsi="Arial" w:cs="Arial"/>
          <w:sz w:val="20"/>
          <w:szCs w:val="20"/>
        </w:rPr>
        <w:t>commenc</w:t>
      </w:r>
      <w:r w:rsidR="002E5873">
        <w:rPr>
          <w:rFonts w:ascii="Arial" w:hAnsi="Arial" w:cs="Arial"/>
          <w:sz w:val="20"/>
          <w:szCs w:val="20"/>
        </w:rPr>
        <w:t xml:space="preserve">ed </w:t>
      </w:r>
      <w:r w:rsidR="009C62DE">
        <w:rPr>
          <w:rFonts w:ascii="Arial" w:hAnsi="Arial" w:cs="Arial"/>
          <w:sz w:val="20"/>
          <w:szCs w:val="20"/>
        </w:rPr>
        <w:t xml:space="preserve">on </w:t>
      </w:r>
      <w:r w:rsidR="00940DB7">
        <w:rPr>
          <w:rFonts w:ascii="Arial" w:hAnsi="Arial" w:cs="Arial"/>
          <w:sz w:val="20"/>
          <w:szCs w:val="20"/>
        </w:rPr>
        <w:t>5</w:t>
      </w:r>
      <w:r w:rsidR="009C62DE">
        <w:rPr>
          <w:rFonts w:ascii="Arial" w:hAnsi="Arial" w:cs="Arial"/>
          <w:sz w:val="20"/>
          <w:szCs w:val="20"/>
        </w:rPr>
        <w:t xml:space="preserve"> July 2024. </w:t>
      </w:r>
      <w:r w:rsidR="0083220C" w:rsidRPr="00E41506">
        <w:rPr>
          <w:rFonts w:ascii="Arial" w:hAnsi="Arial" w:cs="Arial"/>
          <w:sz w:val="20"/>
          <w:szCs w:val="20"/>
        </w:rPr>
        <w:t xml:space="preserve">On 24 June 2024, the Group </w:t>
      </w:r>
      <w:proofErr w:type="gramStart"/>
      <w:r w:rsidR="0083220C" w:rsidRPr="00E41506">
        <w:rPr>
          <w:rFonts w:ascii="Arial" w:hAnsi="Arial" w:cs="Arial"/>
          <w:sz w:val="20"/>
          <w:szCs w:val="20"/>
        </w:rPr>
        <w:t>entered into</w:t>
      </w:r>
      <w:proofErr w:type="gramEnd"/>
      <w:r w:rsidR="0083220C" w:rsidRPr="00E41506">
        <w:rPr>
          <w:rFonts w:ascii="Arial" w:hAnsi="Arial" w:cs="Arial"/>
          <w:sz w:val="20"/>
          <w:szCs w:val="20"/>
        </w:rPr>
        <w:t xml:space="preserve"> a new unsecured 3-year Revolving Credit Facility (“RCF”) of £50 million with an </w:t>
      </w:r>
      <w:r w:rsidR="000F2769">
        <w:rPr>
          <w:rFonts w:ascii="Arial" w:hAnsi="Arial" w:cs="Arial"/>
          <w:sz w:val="20"/>
          <w:szCs w:val="20"/>
        </w:rPr>
        <w:t xml:space="preserve">uncommitted </w:t>
      </w:r>
      <w:r w:rsidR="0083220C" w:rsidRPr="00E41506">
        <w:rPr>
          <w:rFonts w:ascii="Arial" w:hAnsi="Arial" w:cs="Arial"/>
          <w:sz w:val="20"/>
          <w:szCs w:val="20"/>
        </w:rPr>
        <w:t>accordion facility of £50 millio</w:t>
      </w:r>
      <w:r w:rsidR="0083220C">
        <w:rPr>
          <w:rFonts w:ascii="Arial" w:hAnsi="Arial" w:cs="Arial"/>
          <w:sz w:val="20"/>
          <w:szCs w:val="20"/>
        </w:rPr>
        <w:t>n</w:t>
      </w:r>
      <w:r w:rsidR="00167229">
        <w:rPr>
          <w:rFonts w:ascii="Arial" w:hAnsi="Arial" w:cs="Arial"/>
          <w:sz w:val="20"/>
          <w:szCs w:val="20"/>
        </w:rPr>
        <w:t>, and th</w:t>
      </w:r>
      <w:r w:rsidR="00347744">
        <w:rPr>
          <w:rFonts w:ascii="Arial" w:hAnsi="Arial" w:cs="Arial"/>
          <w:sz w:val="20"/>
          <w:szCs w:val="20"/>
        </w:rPr>
        <w:t xml:space="preserve">ese facilities are </w:t>
      </w:r>
      <w:r w:rsidR="0083220C">
        <w:rPr>
          <w:rFonts w:ascii="Arial" w:hAnsi="Arial" w:cs="Arial"/>
          <w:sz w:val="20"/>
          <w:szCs w:val="20"/>
        </w:rPr>
        <w:t xml:space="preserve">currently undrawn. </w:t>
      </w:r>
    </w:p>
    <w:p w14:paraId="489CB6E1" w14:textId="3A0F49D0" w:rsidR="009C2CEB" w:rsidRDefault="009C2CEB" w:rsidP="00631AE2">
      <w:pPr>
        <w:jc w:val="both"/>
        <w:rPr>
          <w:rFonts w:ascii="Arial" w:hAnsi="Arial" w:cs="Arial"/>
          <w:sz w:val="20"/>
          <w:szCs w:val="20"/>
        </w:rPr>
      </w:pPr>
      <w:r>
        <w:rPr>
          <w:rFonts w:ascii="Arial" w:hAnsi="Arial" w:cs="Arial"/>
          <w:sz w:val="20"/>
          <w:szCs w:val="20"/>
        </w:rPr>
        <w:t xml:space="preserve">The Board </w:t>
      </w:r>
      <w:r w:rsidR="00297C0C">
        <w:rPr>
          <w:rFonts w:ascii="Arial" w:hAnsi="Arial" w:cs="Arial"/>
          <w:sz w:val="20"/>
          <w:szCs w:val="20"/>
        </w:rPr>
        <w:t xml:space="preserve">anticipates </w:t>
      </w:r>
      <w:r>
        <w:rPr>
          <w:rFonts w:ascii="Arial" w:hAnsi="Arial" w:cs="Arial"/>
          <w:sz w:val="20"/>
          <w:szCs w:val="20"/>
        </w:rPr>
        <w:t xml:space="preserve">that </w:t>
      </w:r>
      <w:r w:rsidR="00424137">
        <w:rPr>
          <w:rFonts w:ascii="Arial" w:hAnsi="Arial" w:cs="Arial"/>
          <w:sz w:val="20"/>
          <w:szCs w:val="20"/>
        </w:rPr>
        <w:t xml:space="preserve">the </w:t>
      </w:r>
      <w:r>
        <w:rPr>
          <w:rFonts w:ascii="Arial" w:hAnsi="Arial" w:cs="Arial"/>
          <w:sz w:val="20"/>
          <w:szCs w:val="20"/>
        </w:rPr>
        <w:t xml:space="preserve">remaining </w:t>
      </w:r>
      <w:r w:rsidR="00DE3D9D">
        <w:rPr>
          <w:rFonts w:ascii="Arial" w:hAnsi="Arial" w:cs="Arial"/>
          <w:sz w:val="20"/>
          <w:szCs w:val="20"/>
        </w:rPr>
        <w:t>n</w:t>
      </w:r>
      <w:r>
        <w:rPr>
          <w:rFonts w:ascii="Arial" w:hAnsi="Arial" w:cs="Arial"/>
          <w:sz w:val="20"/>
          <w:szCs w:val="20"/>
        </w:rPr>
        <w:t xml:space="preserve">et </w:t>
      </w:r>
      <w:r w:rsidR="00DE3D9D">
        <w:rPr>
          <w:rFonts w:ascii="Arial" w:hAnsi="Arial" w:cs="Arial"/>
          <w:sz w:val="20"/>
          <w:szCs w:val="20"/>
        </w:rPr>
        <w:t>c</w:t>
      </w:r>
      <w:r>
        <w:rPr>
          <w:rFonts w:ascii="Arial" w:hAnsi="Arial" w:cs="Arial"/>
          <w:sz w:val="20"/>
          <w:szCs w:val="20"/>
        </w:rPr>
        <w:t xml:space="preserve">ash </w:t>
      </w:r>
      <w:r w:rsidR="00DE3D9D">
        <w:rPr>
          <w:rFonts w:ascii="Arial" w:hAnsi="Arial" w:cs="Arial"/>
          <w:sz w:val="20"/>
          <w:szCs w:val="20"/>
        </w:rPr>
        <w:t>p</w:t>
      </w:r>
      <w:r>
        <w:rPr>
          <w:rFonts w:ascii="Arial" w:hAnsi="Arial" w:cs="Arial"/>
          <w:sz w:val="20"/>
          <w:szCs w:val="20"/>
        </w:rPr>
        <w:t xml:space="preserve">roceeds </w:t>
      </w:r>
      <w:r w:rsidR="00DE3D9D">
        <w:rPr>
          <w:rFonts w:ascii="Arial" w:hAnsi="Arial" w:cs="Arial"/>
          <w:sz w:val="20"/>
          <w:szCs w:val="20"/>
        </w:rPr>
        <w:t xml:space="preserve">of the Divestment </w:t>
      </w:r>
      <w:r w:rsidR="00424137">
        <w:rPr>
          <w:rFonts w:ascii="Arial" w:hAnsi="Arial" w:cs="Arial"/>
          <w:sz w:val="20"/>
          <w:szCs w:val="20"/>
        </w:rPr>
        <w:t xml:space="preserve">and the Group’s strong cash generation will be used </w:t>
      </w:r>
      <w:r w:rsidR="00004D2F">
        <w:rPr>
          <w:rFonts w:ascii="Arial" w:hAnsi="Arial" w:cs="Arial"/>
          <w:sz w:val="20"/>
          <w:szCs w:val="20"/>
        </w:rPr>
        <w:t>either</w:t>
      </w:r>
      <w:r w:rsidR="00C21A75">
        <w:rPr>
          <w:rFonts w:ascii="Arial" w:hAnsi="Arial" w:cs="Arial"/>
          <w:sz w:val="20"/>
          <w:szCs w:val="20"/>
        </w:rPr>
        <w:t xml:space="preserve"> to</w:t>
      </w:r>
      <w:r w:rsidR="00004D2F">
        <w:rPr>
          <w:rFonts w:ascii="Arial" w:hAnsi="Arial" w:cs="Arial"/>
          <w:sz w:val="20"/>
          <w:szCs w:val="20"/>
        </w:rPr>
        <w:t xml:space="preserve"> </w:t>
      </w:r>
      <w:r w:rsidR="00424137">
        <w:rPr>
          <w:rFonts w:ascii="Arial" w:hAnsi="Arial" w:cs="Arial"/>
          <w:sz w:val="20"/>
          <w:szCs w:val="20"/>
        </w:rPr>
        <w:t>return further capital to shareholder</w:t>
      </w:r>
      <w:r w:rsidR="005B339E">
        <w:rPr>
          <w:rFonts w:ascii="Arial" w:hAnsi="Arial" w:cs="Arial"/>
          <w:sz w:val="20"/>
          <w:szCs w:val="20"/>
        </w:rPr>
        <w:t>s</w:t>
      </w:r>
      <w:r w:rsidR="00424137">
        <w:rPr>
          <w:rFonts w:ascii="Arial" w:hAnsi="Arial" w:cs="Arial"/>
          <w:sz w:val="20"/>
          <w:szCs w:val="20"/>
        </w:rPr>
        <w:t xml:space="preserve"> </w:t>
      </w:r>
      <w:r w:rsidR="00004D2F">
        <w:rPr>
          <w:rFonts w:ascii="Arial" w:hAnsi="Arial" w:cs="Arial"/>
          <w:sz w:val="20"/>
          <w:szCs w:val="20"/>
        </w:rPr>
        <w:t>or</w:t>
      </w:r>
      <w:r w:rsidR="00BE3C1F">
        <w:rPr>
          <w:rFonts w:ascii="Arial" w:hAnsi="Arial" w:cs="Arial"/>
          <w:sz w:val="20"/>
          <w:szCs w:val="20"/>
        </w:rPr>
        <w:t>,</w:t>
      </w:r>
      <w:r w:rsidR="00424137">
        <w:rPr>
          <w:rFonts w:ascii="Arial" w:hAnsi="Arial" w:cs="Arial"/>
          <w:sz w:val="20"/>
          <w:szCs w:val="20"/>
        </w:rPr>
        <w:t xml:space="preserve"> </w:t>
      </w:r>
      <w:r>
        <w:rPr>
          <w:rFonts w:ascii="Arial" w:hAnsi="Arial" w:cs="Arial"/>
          <w:sz w:val="20"/>
          <w:szCs w:val="20"/>
        </w:rPr>
        <w:t>when appropriate</w:t>
      </w:r>
      <w:r w:rsidR="0067422B">
        <w:rPr>
          <w:rFonts w:ascii="Arial" w:hAnsi="Arial" w:cs="Arial"/>
          <w:sz w:val="20"/>
          <w:szCs w:val="20"/>
        </w:rPr>
        <w:t>,</w:t>
      </w:r>
      <w:r>
        <w:rPr>
          <w:rFonts w:ascii="Arial" w:hAnsi="Arial" w:cs="Arial"/>
          <w:sz w:val="20"/>
          <w:szCs w:val="20"/>
        </w:rPr>
        <w:t xml:space="preserve"> </w:t>
      </w:r>
      <w:r w:rsidR="00424137">
        <w:rPr>
          <w:rFonts w:ascii="Arial" w:hAnsi="Arial" w:cs="Arial"/>
          <w:sz w:val="20"/>
          <w:szCs w:val="20"/>
        </w:rPr>
        <w:t xml:space="preserve">invest in bolt-on acquisition opportunities across </w:t>
      </w:r>
      <w:r w:rsidR="008B4257">
        <w:rPr>
          <w:rFonts w:ascii="Arial" w:hAnsi="Arial" w:cs="Arial"/>
          <w:sz w:val="20"/>
          <w:szCs w:val="20"/>
        </w:rPr>
        <w:t>TIC and Occupational Health</w:t>
      </w:r>
      <w:r w:rsidR="000F2769">
        <w:rPr>
          <w:rFonts w:ascii="Arial" w:hAnsi="Arial" w:cs="Arial"/>
          <w:sz w:val="20"/>
          <w:szCs w:val="20"/>
        </w:rPr>
        <w:t xml:space="preserve"> in due course. </w:t>
      </w:r>
    </w:p>
    <w:p w14:paraId="4E4A3802" w14:textId="1BA1C4AD" w:rsidR="00631AE2" w:rsidRPr="00326DD4" w:rsidRDefault="00631AE2" w:rsidP="00631AE2">
      <w:pPr>
        <w:jc w:val="both"/>
        <w:rPr>
          <w:rStyle w:val="ads"/>
          <w:rFonts w:ascii="Arial" w:hAnsi="Arial" w:cs="Arial"/>
          <w:b/>
          <w:bCs/>
          <w:sz w:val="20"/>
          <w:szCs w:val="20"/>
        </w:rPr>
      </w:pPr>
      <w:r w:rsidRPr="00811359">
        <w:rPr>
          <w:rFonts w:ascii="Arial" w:hAnsi="Arial" w:cs="Arial"/>
          <w:b/>
          <w:bCs/>
          <w:sz w:val="20"/>
          <w:szCs w:val="20"/>
        </w:rPr>
        <w:t>Strengthen</w:t>
      </w:r>
      <w:r w:rsidR="00DA3C8E">
        <w:rPr>
          <w:rFonts w:ascii="Arial" w:hAnsi="Arial" w:cs="Arial"/>
          <w:b/>
          <w:bCs/>
          <w:sz w:val="20"/>
          <w:szCs w:val="20"/>
        </w:rPr>
        <w:t>ing</w:t>
      </w:r>
      <w:r w:rsidRPr="00811359">
        <w:rPr>
          <w:rFonts w:ascii="Arial" w:hAnsi="Arial" w:cs="Arial"/>
          <w:b/>
          <w:bCs/>
          <w:sz w:val="20"/>
          <w:szCs w:val="20"/>
        </w:rPr>
        <w:t xml:space="preserve"> and </w:t>
      </w:r>
      <w:r w:rsidR="00DA3C8E" w:rsidRPr="00811359">
        <w:rPr>
          <w:rFonts w:ascii="Arial" w:hAnsi="Arial" w:cs="Arial"/>
          <w:b/>
          <w:bCs/>
          <w:sz w:val="20"/>
          <w:szCs w:val="20"/>
        </w:rPr>
        <w:t>integrati</w:t>
      </w:r>
      <w:r w:rsidR="00DA3C8E">
        <w:rPr>
          <w:rFonts w:ascii="Arial" w:hAnsi="Arial" w:cs="Arial"/>
          <w:b/>
          <w:bCs/>
          <w:sz w:val="20"/>
          <w:szCs w:val="20"/>
        </w:rPr>
        <w:t>ng</w:t>
      </w:r>
      <w:r w:rsidR="00ED69F7">
        <w:rPr>
          <w:rFonts w:ascii="Arial" w:hAnsi="Arial" w:cs="Arial"/>
          <w:b/>
          <w:bCs/>
          <w:sz w:val="20"/>
          <w:szCs w:val="20"/>
        </w:rPr>
        <w:t xml:space="preserve"> </w:t>
      </w:r>
    </w:p>
    <w:p w14:paraId="19F17D72" w14:textId="460ECEA9" w:rsidR="002039FA" w:rsidRDefault="00631AE2" w:rsidP="00631AE2">
      <w:pPr>
        <w:jc w:val="both"/>
        <w:rPr>
          <w:rStyle w:val="ads"/>
          <w:rFonts w:ascii="Arial" w:eastAsia="Times New Roman" w:hAnsi="Arial" w:cs="Arial"/>
          <w:color w:val="000000"/>
          <w:sz w:val="20"/>
          <w:szCs w:val="20"/>
          <w:lang w:eastAsia="en-GB"/>
        </w:rPr>
      </w:pPr>
      <w:r w:rsidRPr="0077073D">
        <w:rPr>
          <w:rStyle w:val="ads"/>
          <w:rFonts w:ascii="Arial" w:eastAsia="Times New Roman" w:hAnsi="Arial" w:cs="Arial"/>
          <w:color w:val="000000"/>
          <w:sz w:val="20"/>
          <w:szCs w:val="20"/>
          <w:lang w:eastAsia="en-GB"/>
        </w:rPr>
        <w:t xml:space="preserve">We have made significant </w:t>
      </w:r>
      <w:r w:rsidR="008079DB">
        <w:rPr>
          <w:rStyle w:val="ads"/>
          <w:rFonts w:ascii="Arial" w:eastAsia="Times New Roman" w:hAnsi="Arial" w:cs="Arial"/>
          <w:color w:val="000000"/>
          <w:sz w:val="20"/>
          <w:szCs w:val="20"/>
          <w:lang w:eastAsia="en-GB"/>
        </w:rPr>
        <w:t xml:space="preserve">operational </w:t>
      </w:r>
      <w:r w:rsidRPr="0077073D">
        <w:rPr>
          <w:rStyle w:val="ads"/>
          <w:rFonts w:ascii="Arial" w:eastAsia="Times New Roman" w:hAnsi="Arial" w:cs="Arial"/>
          <w:color w:val="000000"/>
          <w:sz w:val="20"/>
          <w:szCs w:val="20"/>
          <w:lang w:eastAsia="en-GB"/>
        </w:rPr>
        <w:t>progress in</w:t>
      </w:r>
      <w:r w:rsidR="00424137">
        <w:rPr>
          <w:rStyle w:val="ads"/>
          <w:rFonts w:ascii="Arial" w:eastAsia="Times New Roman" w:hAnsi="Arial" w:cs="Arial"/>
          <w:color w:val="000000"/>
          <w:sz w:val="20"/>
          <w:szCs w:val="20"/>
          <w:lang w:eastAsia="en-GB"/>
        </w:rPr>
        <w:t xml:space="preserve"> the year with all integration programmes</w:t>
      </w:r>
      <w:r w:rsidR="00135B77">
        <w:rPr>
          <w:rStyle w:val="ads"/>
          <w:rFonts w:ascii="Arial" w:eastAsia="Times New Roman" w:hAnsi="Arial" w:cs="Arial"/>
          <w:color w:val="000000"/>
          <w:sz w:val="20"/>
          <w:szCs w:val="20"/>
          <w:lang w:eastAsia="en-GB"/>
        </w:rPr>
        <w:t>. We have now built the clear market leader in Occupational Health and Water &amp; Air Hygiene and</w:t>
      </w:r>
      <w:r w:rsidR="00420B97">
        <w:rPr>
          <w:rStyle w:val="ads"/>
          <w:rFonts w:ascii="Arial" w:eastAsia="Times New Roman" w:hAnsi="Arial" w:cs="Arial"/>
          <w:color w:val="000000"/>
          <w:sz w:val="20"/>
          <w:szCs w:val="20"/>
          <w:lang w:eastAsia="en-GB"/>
        </w:rPr>
        <w:t xml:space="preserve"> are a</w:t>
      </w:r>
      <w:r w:rsidR="00135B77">
        <w:rPr>
          <w:rStyle w:val="ads"/>
          <w:rFonts w:ascii="Arial" w:eastAsia="Times New Roman" w:hAnsi="Arial" w:cs="Arial"/>
          <w:color w:val="000000"/>
          <w:sz w:val="20"/>
          <w:szCs w:val="20"/>
          <w:lang w:eastAsia="en-GB"/>
        </w:rPr>
        <w:t xml:space="preserve"> top 3 player in Fire Safety &amp; Security.</w:t>
      </w:r>
      <w:r w:rsidR="002039FA">
        <w:rPr>
          <w:rStyle w:val="ads"/>
          <w:rFonts w:ascii="Arial" w:eastAsia="Times New Roman" w:hAnsi="Arial" w:cs="Arial"/>
          <w:color w:val="000000"/>
          <w:sz w:val="20"/>
          <w:szCs w:val="20"/>
          <w:lang w:eastAsia="en-GB"/>
        </w:rPr>
        <w:t xml:space="preserve"> </w:t>
      </w:r>
      <w:r w:rsidR="00C21A75">
        <w:rPr>
          <w:rStyle w:val="ads"/>
          <w:rFonts w:ascii="Arial" w:eastAsia="Times New Roman" w:hAnsi="Arial" w:cs="Arial"/>
          <w:color w:val="000000"/>
          <w:sz w:val="20"/>
          <w:szCs w:val="20"/>
          <w:lang w:eastAsia="en-GB"/>
        </w:rPr>
        <w:t xml:space="preserve">During </w:t>
      </w:r>
      <w:r w:rsidR="008079DB">
        <w:rPr>
          <w:rStyle w:val="ads"/>
          <w:rFonts w:ascii="Arial" w:eastAsia="Times New Roman" w:hAnsi="Arial" w:cs="Arial"/>
          <w:color w:val="000000"/>
          <w:sz w:val="20"/>
          <w:szCs w:val="20"/>
          <w:lang w:eastAsia="en-GB"/>
        </w:rPr>
        <w:t xml:space="preserve">the year, we continued to deliver extensive synergy benefits across each of our businesses. We </w:t>
      </w:r>
      <w:r w:rsidR="00E41506">
        <w:rPr>
          <w:rStyle w:val="ads"/>
          <w:rFonts w:ascii="Arial" w:eastAsia="Times New Roman" w:hAnsi="Arial" w:cs="Arial"/>
          <w:color w:val="000000"/>
          <w:sz w:val="20"/>
          <w:szCs w:val="20"/>
          <w:lang w:eastAsia="en-GB"/>
        </w:rPr>
        <w:t xml:space="preserve">invested £14.6 million into restructuring (FY23: £15.2 million) </w:t>
      </w:r>
      <w:r w:rsidR="00C21A75">
        <w:rPr>
          <w:rStyle w:val="ads"/>
          <w:rFonts w:ascii="Arial" w:eastAsia="Times New Roman" w:hAnsi="Arial" w:cs="Arial"/>
          <w:color w:val="000000"/>
          <w:sz w:val="20"/>
          <w:szCs w:val="20"/>
          <w:lang w:eastAsia="en-GB"/>
        </w:rPr>
        <w:t xml:space="preserve">and </w:t>
      </w:r>
      <w:r w:rsidR="008079DB">
        <w:rPr>
          <w:rStyle w:val="ads"/>
          <w:rFonts w:ascii="Arial" w:eastAsia="Times New Roman" w:hAnsi="Arial" w:cs="Arial"/>
          <w:color w:val="000000"/>
          <w:sz w:val="20"/>
          <w:szCs w:val="20"/>
          <w:lang w:eastAsia="en-GB"/>
        </w:rPr>
        <w:t xml:space="preserve">successfully removed 200 duplicated roles, exited several properties and </w:t>
      </w:r>
      <w:r w:rsidR="00C21A75">
        <w:rPr>
          <w:rStyle w:val="ads"/>
          <w:rFonts w:ascii="Arial" w:eastAsia="Times New Roman" w:hAnsi="Arial" w:cs="Arial"/>
          <w:color w:val="000000"/>
          <w:sz w:val="20"/>
          <w:szCs w:val="20"/>
          <w:lang w:eastAsia="en-GB"/>
        </w:rPr>
        <w:t xml:space="preserve">discontinued </w:t>
      </w:r>
      <w:r w:rsidR="008079DB">
        <w:rPr>
          <w:rStyle w:val="ads"/>
          <w:rFonts w:ascii="Arial" w:eastAsia="Times New Roman" w:hAnsi="Arial" w:cs="Arial"/>
          <w:color w:val="000000"/>
          <w:sz w:val="20"/>
          <w:szCs w:val="20"/>
          <w:lang w:eastAsia="en-GB"/>
        </w:rPr>
        <w:t xml:space="preserve">several legacy IT systems. </w:t>
      </w:r>
    </w:p>
    <w:p w14:paraId="16089495" w14:textId="7CC98AD3" w:rsidR="008079DB" w:rsidRDefault="002039FA" w:rsidP="00631AE2">
      <w:pPr>
        <w:jc w:val="both"/>
        <w:rPr>
          <w:rStyle w:val="ads"/>
          <w:rFonts w:ascii="Arial" w:eastAsia="Times New Roman" w:hAnsi="Arial" w:cs="Arial"/>
          <w:color w:val="000000"/>
          <w:sz w:val="20"/>
          <w:szCs w:val="20"/>
          <w:lang w:eastAsia="en-GB"/>
        </w:rPr>
      </w:pPr>
      <w:r>
        <w:rPr>
          <w:rStyle w:val="ads"/>
          <w:rFonts w:ascii="Arial" w:eastAsia="Times New Roman" w:hAnsi="Arial" w:cs="Arial"/>
          <w:color w:val="000000"/>
          <w:sz w:val="20"/>
          <w:szCs w:val="20"/>
          <w:lang w:eastAsia="en-GB"/>
        </w:rPr>
        <w:t xml:space="preserve">We </w:t>
      </w:r>
      <w:r w:rsidR="003A68DC">
        <w:rPr>
          <w:rStyle w:val="ads"/>
          <w:rFonts w:ascii="Arial" w:eastAsia="Times New Roman" w:hAnsi="Arial" w:cs="Arial"/>
          <w:color w:val="000000"/>
          <w:sz w:val="20"/>
          <w:szCs w:val="20"/>
          <w:lang w:eastAsia="en-GB"/>
        </w:rPr>
        <w:t xml:space="preserve">are on target </w:t>
      </w:r>
      <w:r>
        <w:rPr>
          <w:rStyle w:val="ads"/>
          <w:rFonts w:ascii="Arial" w:eastAsia="Times New Roman" w:hAnsi="Arial" w:cs="Arial"/>
          <w:color w:val="000000"/>
          <w:sz w:val="20"/>
          <w:szCs w:val="20"/>
          <w:lang w:eastAsia="en-GB"/>
        </w:rPr>
        <w:t xml:space="preserve">to </w:t>
      </w:r>
      <w:r w:rsidR="00C21A75">
        <w:rPr>
          <w:rStyle w:val="ads"/>
          <w:rFonts w:ascii="Arial" w:eastAsia="Times New Roman" w:hAnsi="Arial" w:cs="Arial"/>
          <w:color w:val="000000"/>
          <w:sz w:val="20"/>
          <w:szCs w:val="20"/>
          <w:lang w:eastAsia="en-GB"/>
        </w:rPr>
        <w:t xml:space="preserve">complete all </w:t>
      </w:r>
      <w:r>
        <w:rPr>
          <w:rStyle w:val="ads"/>
          <w:rFonts w:ascii="Arial" w:eastAsia="Times New Roman" w:hAnsi="Arial" w:cs="Arial"/>
          <w:color w:val="000000"/>
          <w:sz w:val="20"/>
          <w:szCs w:val="20"/>
          <w:lang w:eastAsia="en-GB"/>
        </w:rPr>
        <w:t xml:space="preserve">current programmes by 30 September 2024 </w:t>
      </w:r>
      <w:r w:rsidR="003A68DC">
        <w:rPr>
          <w:rStyle w:val="ads"/>
          <w:rFonts w:ascii="Arial" w:eastAsia="Times New Roman" w:hAnsi="Arial" w:cs="Arial"/>
          <w:color w:val="000000"/>
          <w:sz w:val="20"/>
          <w:szCs w:val="20"/>
          <w:lang w:eastAsia="en-GB"/>
        </w:rPr>
        <w:t>with total</w:t>
      </w:r>
      <w:r>
        <w:rPr>
          <w:rStyle w:val="ads"/>
          <w:rFonts w:ascii="Arial" w:eastAsia="Times New Roman" w:hAnsi="Arial" w:cs="Arial"/>
          <w:color w:val="000000"/>
          <w:sz w:val="20"/>
          <w:szCs w:val="20"/>
          <w:lang w:eastAsia="en-GB"/>
        </w:rPr>
        <w:t xml:space="preserve"> expected costs of £5 million in the current financial year.</w:t>
      </w:r>
    </w:p>
    <w:p w14:paraId="4A96C6D6" w14:textId="5ADFAAAD" w:rsidR="008079DB" w:rsidRDefault="008079DB" w:rsidP="00631AE2">
      <w:pPr>
        <w:jc w:val="both"/>
        <w:rPr>
          <w:rStyle w:val="ads"/>
          <w:rFonts w:ascii="Arial" w:eastAsia="Times New Roman" w:hAnsi="Arial" w:cs="Arial"/>
          <w:color w:val="000000"/>
          <w:sz w:val="20"/>
          <w:szCs w:val="20"/>
          <w:lang w:eastAsia="en-GB"/>
        </w:rPr>
      </w:pPr>
      <w:r w:rsidRPr="008079DB">
        <w:rPr>
          <w:rStyle w:val="ads"/>
          <w:rFonts w:ascii="Arial" w:eastAsia="Times New Roman" w:hAnsi="Arial" w:cs="Arial"/>
          <w:color w:val="000000"/>
          <w:sz w:val="20"/>
          <w:szCs w:val="20"/>
          <w:lang w:eastAsia="en-GB"/>
        </w:rPr>
        <w:t xml:space="preserve">Marlowe’s primary focus in the near term remains on driving margin enhancement and organic growth </w:t>
      </w:r>
      <w:r w:rsidR="00297C0C">
        <w:rPr>
          <w:rStyle w:val="ads"/>
          <w:rFonts w:ascii="Arial" w:eastAsia="Times New Roman" w:hAnsi="Arial" w:cs="Arial"/>
          <w:color w:val="000000"/>
          <w:sz w:val="20"/>
          <w:szCs w:val="20"/>
          <w:lang w:eastAsia="en-GB"/>
        </w:rPr>
        <w:t xml:space="preserve">across </w:t>
      </w:r>
      <w:r>
        <w:rPr>
          <w:rStyle w:val="ads"/>
          <w:rFonts w:ascii="Arial" w:eastAsia="Times New Roman" w:hAnsi="Arial" w:cs="Arial"/>
          <w:color w:val="000000"/>
          <w:sz w:val="20"/>
          <w:szCs w:val="20"/>
          <w:lang w:eastAsia="en-GB"/>
        </w:rPr>
        <w:t xml:space="preserve">these integrated platforms </w:t>
      </w:r>
      <w:r w:rsidRPr="008079DB">
        <w:rPr>
          <w:rStyle w:val="ads"/>
          <w:rFonts w:ascii="Arial" w:eastAsia="Times New Roman" w:hAnsi="Arial" w:cs="Arial"/>
          <w:color w:val="000000"/>
          <w:sz w:val="20"/>
          <w:szCs w:val="20"/>
          <w:lang w:eastAsia="en-GB"/>
        </w:rPr>
        <w:t xml:space="preserve">within </w:t>
      </w:r>
      <w:r>
        <w:rPr>
          <w:rStyle w:val="ads"/>
          <w:rFonts w:ascii="Arial" w:eastAsia="Times New Roman" w:hAnsi="Arial" w:cs="Arial"/>
          <w:color w:val="000000"/>
          <w:sz w:val="20"/>
          <w:szCs w:val="20"/>
          <w:lang w:eastAsia="en-GB"/>
        </w:rPr>
        <w:t xml:space="preserve">the </w:t>
      </w:r>
      <w:r w:rsidRPr="008079DB">
        <w:rPr>
          <w:rStyle w:val="ads"/>
          <w:rFonts w:ascii="Arial" w:eastAsia="Times New Roman" w:hAnsi="Arial" w:cs="Arial"/>
          <w:color w:val="000000"/>
          <w:sz w:val="20"/>
          <w:szCs w:val="20"/>
          <w:lang w:eastAsia="en-GB"/>
        </w:rPr>
        <w:t>highly attractive and defensive compliance service markets</w:t>
      </w:r>
      <w:r>
        <w:rPr>
          <w:rStyle w:val="ads"/>
          <w:rFonts w:ascii="Arial" w:eastAsia="Times New Roman" w:hAnsi="Arial" w:cs="Arial"/>
          <w:color w:val="000000"/>
          <w:sz w:val="20"/>
          <w:szCs w:val="20"/>
          <w:lang w:eastAsia="en-GB"/>
        </w:rPr>
        <w:t xml:space="preserve">. </w:t>
      </w:r>
    </w:p>
    <w:p w14:paraId="5527C48C" w14:textId="11DA48F7" w:rsidR="00004D2F" w:rsidRDefault="00004D2F" w:rsidP="00631AE2">
      <w:pPr>
        <w:jc w:val="both"/>
        <w:rPr>
          <w:rStyle w:val="ads"/>
          <w:rFonts w:ascii="Arial" w:eastAsia="Times New Roman" w:hAnsi="Arial" w:cs="Arial"/>
          <w:b/>
          <w:bCs/>
          <w:color w:val="000000"/>
          <w:sz w:val="20"/>
          <w:szCs w:val="20"/>
          <w:lang w:eastAsia="en-GB"/>
        </w:rPr>
      </w:pPr>
      <w:r w:rsidRPr="00004D2F">
        <w:rPr>
          <w:rStyle w:val="ads"/>
          <w:rFonts w:ascii="Arial" w:eastAsia="Times New Roman" w:hAnsi="Arial" w:cs="Arial"/>
          <w:b/>
          <w:bCs/>
          <w:color w:val="000000"/>
          <w:sz w:val="20"/>
          <w:szCs w:val="20"/>
          <w:lang w:eastAsia="en-GB"/>
        </w:rPr>
        <w:t xml:space="preserve">Board Changes </w:t>
      </w:r>
    </w:p>
    <w:p w14:paraId="5DF6AF53" w14:textId="3632C727" w:rsidR="00767349" w:rsidRDefault="009A1771" w:rsidP="00631AE2">
      <w:pPr>
        <w:jc w:val="both"/>
        <w:rPr>
          <w:rFonts w:ascii="Arial" w:hAnsi="Arial" w:cs="Arial"/>
          <w:color w:val="000000"/>
          <w:sz w:val="20"/>
          <w:szCs w:val="20"/>
          <w:shd w:val="clear" w:color="auto" w:fill="FFFFFF"/>
        </w:rPr>
      </w:pPr>
      <w:r>
        <w:rPr>
          <w:rStyle w:val="ads"/>
          <w:rFonts w:ascii="Arial" w:eastAsia="Times New Roman" w:hAnsi="Arial" w:cs="Arial"/>
          <w:color w:val="000000"/>
          <w:sz w:val="20"/>
          <w:szCs w:val="20"/>
          <w:lang w:eastAsia="en-GB"/>
        </w:rPr>
        <w:t xml:space="preserve">On the completion of the </w:t>
      </w:r>
      <w:r w:rsidR="00DE3D9D">
        <w:rPr>
          <w:rStyle w:val="ads"/>
          <w:rFonts w:ascii="Arial" w:eastAsia="Times New Roman" w:hAnsi="Arial" w:cs="Arial"/>
          <w:color w:val="000000"/>
          <w:sz w:val="20"/>
          <w:szCs w:val="20"/>
          <w:lang w:eastAsia="en-GB"/>
        </w:rPr>
        <w:t>Divestment</w:t>
      </w:r>
      <w:r>
        <w:rPr>
          <w:rStyle w:val="ads"/>
          <w:rFonts w:ascii="Arial" w:eastAsia="Times New Roman" w:hAnsi="Arial" w:cs="Arial"/>
          <w:color w:val="000000"/>
          <w:sz w:val="20"/>
          <w:szCs w:val="20"/>
          <w:lang w:eastAsia="en-GB"/>
        </w:rPr>
        <w:t xml:space="preserve">, </w:t>
      </w:r>
      <w:r w:rsidR="002039FA" w:rsidRPr="002039FA">
        <w:rPr>
          <w:rStyle w:val="ads"/>
          <w:rFonts w:ascii="Arial" w:eastAsia="Times New Roman" w:hAnsi="Arial" w:cs="Arial"/>
          <w:color w:val="000000"/>
          <w:sz w:val="20"/>
          <w:szCs w:val="20"/>
          <w:lang w:eastAsia="en-GB"/>
        </w:rPr>
        <w:t xml:space="preserve">Alex Dacre </w:t>
      </w:r>
      <w:r w:rsidR="002039FA">
        <w:rPr>
          <w:rStyle w:val="ads"/>
          <w:rFonts w:ascii="Arial" w:eastAsia="Times New Roman" w:hAnsi="Arial" w:cs="Arial"/>
          <w:color w:val="000000"/>
          <w:sz w:val="20"/>
          <w:szCs w:val="20"/>
          <w:lang w:eastAsia="en-GB"/>
        </w:rPr>
        <w:t xml:space="preserve">transferred </w:t>
      </w:r>
      <w:r w:rsidR="002039FA" w:rsidRPr="002039FA">
        <w:rPr>
          <w:rStyle w:val="ads"/>
          <w:rFonts w:ascii="Arial" w:eastAsia="Times New Roman" w:hAnsi="Arial" w:cs="Arial"/>
          <w:color w:val="000000"/>
          <w:sz w:val="20"/>
          <w:szCs w:val="20"/>
          <w:lang w:eastAsia="en-GB"/>
        </w:rPr>
        <w:t>with the Divestment and resign</w:t>
      </w:r>
      <w:r w:rsidR="002039FA">
        <w:rPr>
          <w:rStyle w:val="ads"/>
          <w:rFonts w:ascii="Arial" w:eastAsia="Times New Roman" w:hAnsi="Arial" w:cs="Arial"/>
          <w:color w:val="000000"/>
          <w:sz w:val="20"/>
          <w:szCs w:val="20"/>
          <w:lang w:eastAsia="en-GB"/>
        </w:rPr>
        <w:t>ed</w:t>
      </w:r>
      <w:r w:rsidR="002039FA" w:rsidRPr="002039FA">
        <w:rPr>
          <w:rStyle w:val="ads"/>
          <w:rFonts w:ascii="Arial" w:eastAsia="Times New Roman" w:hAnsi="Arial" w:cs="Arial"/>
          <w:color w:val="000000"/>
          <w:sz w:val="20"/>
          <w:szCs w:val="20"/>
          <w:lang w:eastAsia="en-GB"/>
        </w:rPr>
        <w:t xml:space="preserve"> as Chief Executive of Marlowe</w:t>
      </w:r>
      <w:r w:rsidR="002039FA">
        <w:rPr>
          <w:rStyle w:val="ads"/>
          <w:rFonts w:ascii="Arial" w:eastAsia="Times New Roman" w:hAnsi="Arial" w:cs="Arial"/>
          <w:color w:val="000000"/>
          <w:sz w:val="20"/>
          <w:szCs w:val="20"/>
          <w:lang w:eastAsia="en-GB"/>
        </w:rPr>
        <w:t>. Additionally,</w:t>
      </w:r>
      <w:r w:rsidR="00767349">
        <w:rPr>
          <w:rStyle w:val="ads"/>
          <w:rFonts w:ascii="Arial" w:eastAsia="Times New Roman" w:hAnsi="Arial" w:cs="Arial"/>
          <w:color w:val="000000"/>
          <w:sz w:val="20"/>
          <w:szCs w:val="20"/>
          <w:lang w:eastAsia="en-GB"/>
        </w:rPr>
        <w:t xml:space="preserve"> on 3 June 2024, t</w:t>
      </w:r>
      <w:r w:rsidR="008C3DE3" w:rsidRPr="00AC2082">
        <w:rPr>
          <w:rFonts w:ascii="Arial" w:hAnsi="Arial" w:cs="Arial"/>
          <w:color w:val="000000"/>
          <w:sz w:val="20"/>
          <w:szCs w:val="20"/>
          <w:shd w:val="clear" w:color="auto" w:fill="FFFFFF"/>
        </w:rPr>
        <w:t>he</w:t>
      </w:r>
      <w:r w:rsidR="008C3DE3">
        <w:rPr>
          <w:rFonts w:ascii="Arial" w:hAnsi="Arial" w:cs="Arial"/>
          <w:color w:val="000000"/>
          <w:sz w:val="20"/>
          <w:szCs w:val="20"/>
          <w:shd w:val="clear" w:color="auto" w:fill="FFFFFF"/>
        </w:rPr>
        <w:t xml:space="preserve"> Group announced the</w:t>
      </w:r>
      <w:r w:rsidR="008C3DE3" w:rsidRPr="00AC2082">
        <w:rPr>
          <w:rFonts w:ascii="Arial" w:hAnsi="Arial" w:cs="Arial"/>
          <w:color w:val="000000"/>
          <w:sz w:val="20"/>
          <w:szCs w:val="20"/>
          <w:shd w:val="clear" w:color="auto" w:fill="FFFFFF"/>
        </w:rPr>
        <w:t xml:space="preserve"> </w:t>
      </w:r>
      <w:r w:rsidR="008C3DE3">
        <w:rPr>
          <w:rFonts w:ascii="Arial" w:hAnsi="Arial" w:cs="Arial"/>
          <w:color w:val="000000"/>
          <w:sz w:val="20"/>
          <w:szCs w:val="20"/>
          <w:shd w:val="clear" w:color="auto" w:fill="FFFFFF"/>
        </w:rPr>
        <w:t>resignation of Kevin Quinn as Executive Chairman</w:t>
      </w:r>
      <w:r w:rsidR="00C21A75">
        <w:rPr>
          <w:rFonts w:ascii="Arial" w:hAnsi="Arial" w:cs="Arial"/>
          <w:color w:val="000000"/>
          <w:sz w:val="20"/>
          <w:szCs w:val="20"/>
          <w:shd w:val="clear" w:color="auto" w:fill="FFFFFF"/>
        </w:rPr>
        <w:t xml:space="preserve"> </w:t>
      </w:r>
      <w:r w:rsidR="008C3DE3">
        <w:rPr>
          <w:rFonts w:ascii="Arial" w:hAnsi="Arial" w:cs="Arial"/>
          <w:color w:val="000000"/>
          <w:sz w:val="20"/>
          <w:szCs w:val="20"/>
          <w:shd w:val="clear" w:color="auto" w:fill="FFFFFF"/>
        </w:rPr>
        <w:t xml:space="preserve">with </w:t>
      </w:r>
      <w:r w:rsidR="00937D1F" w:rsidRPr="00937D1F">
        <w:rPr>
          <w:rFonts w:ascii="Arial" w:hAnsi="Arial" w:cs="Arial"/>
          <w:color w:val="000000"/>
          <w:sz w:val="20"/>
          <w:szCs w:val="20"/>
          <w:shd w:val="clear" w:color="auto" w:fill="FFFFFF"/>
        </w:rPr>
        <w:t xml:space="preserve">Lord Ashcroft KCMG PC </w:t>
      </w:r>
      <w:r w:rsidR="00937D1F">
        <w:rPr>
          <w:rFonts w:ascii="Arial" w:hAnsi="Arial" w:cs="Arial"/>
          <w:color w:val="000000"/>
          <w:sz w:val="20"/>
          <w:szCs w:val="20"/>
          <w:shd w:val="clear" w:color="auto" w:fill="FFFFFF"/>
        </w:rPr>
        <w:t>assuming</w:t>
      </w:r>
      <w:r w:rsidR="00937D1F" w:rsidRPr="00937D1F">
        <w:rPr>
          <w:rFonts w:ascii="Arial" w:hAnsi="Arial" w:cs="Arial"/>
          <w:color w:val="000000"/>
          <w:sz w:val="20"/>
          <w:szCs w:val="20"/>
          <w:shd w:val="clear" w:color="auto" w:fill="FFFFFF"/>
        </w:rPr>
        <w:t xml:space="preserve"> the role of Non-Executive Chairman on an interim basis</w:t>
      </w:r>
      <w:r w:rsidR="00937D1F">
        <w:rPr>
          <w:rFonts w:ascii="Arial" w:hAnsi="Arial" w:cs="Arial"/>
          <w:color w:val="000000"/>
          <w:sz w:val="20"/>
          <w:szCs w:val="20"/>
          <w:shd w:val="clear" w:color="auto" w:fill="FFFFFF"/>
        </w:rPr>
        <w:t xml:space="preserve"> </w:t>
      </w:r>
      <w:r w:rsidR="00DE3D9D">
        <w:rPr>
          <w:rFonts w:ascii="Arial" w:hAnsi="Arial" w:cs="Arial"/>
          <w:color w:val="000000"/>
          <w:sz w:val="20"/>
          <w:szCs w:val="20"/>
          <w:shd w:val="clear" w:color="auto" w:fill="FFFFFF"/>
        </w:rPr>
        <w:t>having joined</w:t>
      </w:r>
      <w:r w:rsidR="00937D1F">
        <w:rPr>
          <w:rFonts w:ascii="Arial" w:hAnsi="Arial" w:cs="Arial"/>
          <w:color w:val="000000"/>
          <w:sz w:val="20"/>
          <w:szCs w:val="20"/>
          <w:shd w:val="clear" w:color="auto" w:fill="FFFFFF"/>
        </w:rPr>
        <w:t xml:space="preserve"> the Board</w:t>
      </w:r>
      <w:r w:rsidR="00B24DC0">
        <w:rPr>
          <w:rFonts w:ascii="Arial" w:hAnsi="Arial" w:cs="Arial"/>
          <w:color w:val="000000"/>
          <w:sz w:val="20"/>
          <w:szCs w:val="20"/>
          <w:shd w:val="clear" w:color="auto" w:fill="FFFFFF"/>
        </w:rPr>
        <w:t xml:space="preserve"> </w:t>
      </w:r>
      <w:r w:rsidR="00BE3C1F">
        <w:rPr>
          <w:rFonts w:ascii="Arial" w:hAnsi="Arial" w:cs="Arial"/>
          <w:color w:val="000000"/>
          <w:sz w:val="20"/>
          <w:szCs w:val="20"/>
          <w:shd w:val="clear" w:color="auto" w:fill="FFFFFF"/>
        </w:rPr>
        <w:t xml:space="preserve">on </w:t>
      </w:r>
      <w:r w:rsidR="00937D1F">
        <w:rPr>
          <w:rFonts w:ascii="Arial" w:hAnsi="Arial" w:cs="Arial"/>
          <w:color w:val="000000"/>
          <w:sz w:val="20"/>
          <w:szCs w:val="20"/>
          <w:shd w:val="clear" w:color="auto" w:fill="FFFFFF"/>
        </w:rPr>
        <w:t xml:space="preserve">18 March 2024. </w:t>
      </w:r>
    </w:p>
    <w:p w14:paraId="779B459D" w14:textId="63E50C9A" w:rsidR="00CF1C0F" w:rsidRPr="00767349" w:rsidRDefault="00767349" w:rsidP="00631AE2">
      <w:pPr>
        <w:jc w:val="both"/>
        <w:rPr>
          <w:rStyle w:val="ads"/>
          <w:rFonts w:ascii="Arial" w:hAnsi="Arial" w:cs="Arial"/>
          <w:color w:val="000000"/>
          <w:sz w:val="20"/>
          <w:szCs w:val="20"/>
          <w:shd w:val="clear" w:color="auto" w:fill="FFFFFF"/>
        </w:rPr>
      </w:pPr>
      <w:r>
        <w:rPr>
          <w:rFonts w:ascii="Arial" w:hAnsi="Arial" w:cs="Arial"/>
          <w:color w:val="000000"/>
          <w:sz w:val="20"/>
          <w:szCs w:val="20"/>
          <w:shd w:val="clear" w:color="auto" w:fill="FFFFFF"/>
        </w:rPr>
        <w:t>The Board would like to</w:t>
      </w:r>
      <w:r w:rsidR="009A1771">
        <w:rPr>
          <w:rFonts w:ascii="Arial" w:hAnsi="Arial" w:cs="Arial"/>
          <w:color w:val="000000"/>
          <w:sz w:val="20"/>
          <w:szCs w:val="20"/>
          <w:shd w:val="clear" w:color="auto" w:fill="FFFFFF"/>
        </w:rPr>
        <w:t xml:space="preserve"> thank</w:t>
      </w:r>
      <w:r>
        <w:rPr>
          <w:rFonts w:ascii="Arial" w:hAnsi="Arial" w:cs="Arial"/>
          <w:color w:val="000000"/>
          <w:sz w:val="20"/>
          <w:szCs w:val="20"/>
          <w:shd w:val="clear" w:color="auto" w:fill="FFFFFF"/>
        </w:rPr>
        <w:t xml:space="preserve"> </w:t>
      </w:r>
      <w:r w:rsidR="00CF1C0F">
        <w:rPr>
          <w:rStyle w:val="ads"/>
          <w:rFonts w:ascii="Arial" w:eastAsia="Times New Roman" w:hAnsi="Arial" w:cs="Arial"/>
          <w:color w:val="000000"/>
          <w:sz w:val="20"/>
          <w:szCs w:val="20"/>
          <w:lang w:eastAsia="en-GB"/>
        </w:rPr>
        <w:t xml:space="preserve">Kevin </w:t>
      </w:r>
      <w:r>
        <w:rPr>
          <w:rStyle w:val="ads"/>
          <w:rFonts w:ascii="Arial" w:eastAsia="Times New Roman" w:hAnsi="Arial" w:cs="Arial"/>
          <w:color w:val="000000"/>
          <w:sz w:val="20"/>
          <w:szCs w:val="20"/>
          <w:lang w:eastAsia="en-GB"/>
        </w:rPr>
        <w:t xml:space="preserve">who </w:t>
      </w:r>
      <w:r w:rsidR="00CF1C0F" w:rsidRPr="00CF1C0F">
        <w:rPr>
          <w:rStyle w:val="ads"/>
          <w:rFonts w:ascii="Arial" w:eastAsia="Times New Roman" w:hAnsi="Arial" w:cs="Arial"/>
          <w:color w:val="000000"/>
          <w:sz w:val="20"/>
          <w:szCs w:val="20"/>
          <w:lang w:eastAsia="en-GB"/>
        </w:rPr>
        <w:t xml:space="preserve">has made </w:t>
      </w:r>
      <w:r w:rsidR="002E5873">
        <w:rPr>
          <w:rStyle w:val="ads"/>
          <w:rFonts w:ascii="Arial" w:eastAsia="Times New Roman" w:hAnsi="Arial" w:cs="Arial"/>
          <w:color w:val="000000"/>
          <w:sz w:val="20"/>
          <w:szCs w:val="20"/>
          <w:lang w:eastAsia="en-GB"/>
        </w:rPr>
        <w:t xml:space="preserve">a </w:t>
      </w:r>
      <w:r w:rsidR="002E5873" w:rsidRPr="002E5873">
        <w:rPr>
          <w:rStyle w:val="ads"/>
          <w:rFonts w:ascii="Arial" w:eastAsia="Times New Roman" w:hAnsi="Arial" w:cs="Arial"/>
          <w:color w:val="000000"/>
          <w:sz w:val="20"/>
          <w:szCs w:val="20"/>
          <w:lang w:eastAsia="en-GB"/>
        </w:rPr>
        <w:t>significant contribution to the development of Marlowe</w:t>
      </w:r>
      <w:r w:rsidR="00CF1C0F">
        <w:rPr>
          <w:rStyle w:val="ads"/>
          <w:rFonts w:ascii="Arial" w:eastAsia="Times New Roman" w:hAnsi="Arial" w:cs="Arial"/>
          <w:color w:val="000000"/>
          <w:sz w:val="20"/>
          <w:szCs w:val="20"/>
          <w:lang w:eastAsia="en-GB"/>
        </w:rPr>
        <w:t xml:space="preserve"> and extends its sincere thanks for his dedicated service and commitment. Additionally, the Board would like to </w:t>
      </w:r>
      <w:r w:rsidR="00270D68">
        <w:rPr>
          <w:rStyle w:val="ads"/>
          <w:rFonts w:ascii="Arial" w:eastAsia="Times New Roman" w:hAnsi="Arial" w:cs="Arial"/>
          <w:color w:val="000000"/>
          <w:sz w:val="20"/>
          <w:szCs w:val="20"/>
          <w:lang w:eastAsia="en-GB"/>
        </w:rPr>
        <w:t xml:space="preserve">thank </w:t>
      </w:r>
      <w:r w:rsidR="00CF1C0F">
        <w:rPr>
          <w:rStyle w:val="ads"/>
          <w:rFonts w:ascii="Arial" w:eastAsia="Times New Roman" w:hAnsi="Arial" w:cs="Arial"/>
          <w:color w:val="000000"/>
          <w:sz w:val="20"/>
          <w:szCs w:val="20"/>
          <w:lang w:eastAsia="en-GB"/>
        </w:rPr>
        <w:t>Charles Skinner</w:t>
      </w:r>
      <w:r w:rsidR="009228D3">
        <w:rPr>
          <w:rStyle w:val="ads"/>
          <w:rFonts w:ascii="Arial" w:eastAsia="Times New Roman" w:hAnsi="Arial" w:cs="Arial"/>
          <w:color w:val="000000"/>
          <w:sz w:val="20"/>
          <w:szCs w:val="20"/>
          <w:lang w:eastAsia="en-GB"/>
        </w:rPr>
        <w:t xml:space="preserve">, who stepped down from the Marlowe Board in March 2024, </w:t>
      </w:r>
      <w:r w:rsidR="00270D68">
        <w:rPr>
          <w:rStyle w:val="ads"/>
          <w:rFonts w:ascii="Arial" w:eastAsia="Times New Roman" w:hAnsi="Arial" w:cs="Arial"/>
          <w:color w:val="000000"/>
          <w:sz w:val="20"/>
          <w:szCs w:val="20"/>
          <w:lang w:eastAsia="en-GB"/>
        </w:rPr>
        <w:t>for his support and advi</w:t>
      </w:r>
      <w:r>
        <w:rPr>
          <w:rStyle w:val="ads"/>
          <w:rFonts w:ascii="Arial" w:eastAsia="Times New Roman" w:hAnsi="Arial" w:cs="Arial"/>
          <w:color w:val="000000"/>
          <w:sz w:val="20"/>
          <w:szCs w:val="20"/>
          <w:lang w:eastAsia="en-GB"/>
        </w:rPr>
        <w:t>c</w:t>
      </w:r>
      <w:r w:rsidR="00270D68">
        <w:rPr>
          <w:rStyle w:val="ads"/>
          <w:rFonts w:ascii="Arial" w:eastAsia="Times New Roman" w:hAnsi="Arial" w:cs="Arial"/>
          <w:color w:val="000000"/>
          <w:sz w:val="20"/>
          <w:szCs w:val="20"/>
          <w:lang w:eastAsia="en-GB"/>
        </w:rPr>
        <w:t>e over his 8-year tenure</w:t>
      </w:r>
      <w:r w:rsidR="009228D3">
        <w:rPr>
          <w:rStyle w:val="ads"/>
          <w:rFonts w:ascii="Arial" w:eastAsia="Times New Roman" w:hAnsi="Arial" w:cs="Arial"/>
          <w:color w:val="000000"/>
          <w:sz w:val="20"/>
          <w:szCs w:val="20"/>
          <w:lang w:eastAsia="en-GB"/>
        </w:rPr>
        <w:t>.</w:t>
      </w:r>
      <w:r w:rsidR="00CF1C0F">
        <w:rPr>
          <w:rStyle w:val="ads"/>
          <w:rFonts w:ascii="Arial" w:eastAsia="Times New Roman" w:hAnsi="Arial" w:cs="Arial"/>
          <w:color w:val="000000"/>
          <w:sz w:val="20"/>
          <w:szCs w:val="20"/>
          <w:lang w:eastAsia="en-GB"/>
        </w:rPr>
        <w:t xml:space="preserve"> </w:t>
      </w:r>
    </w:p>
    <w:p w14:paraId="16897F00" w14:textId="51A38996" w:rsidR="00CF1C0F" w:rsidRPr="00004D2F" w:rsidRDefault="00420B97" w:rsidP="00631AE2">
      <w:pPr>
        <w:jc w:val="both"/>
        <w:rPr>
          <w:rStyle w:val="ads"/>
          <w:rFonts w:ascii="Arial" w:eastAsia="Times New Roman" w:hAnsi="Arial" w:cs="Arial"/>
          <w:color w:val="000000"/>
          <w:sz w:val="20"/>
          <w:szCs w:val="20"/>
          <w:lang w:eastAsia="en-GB"/>
        </w:rPr>
      </w:pPr>
      <w:r>
        <w:rPr>
          <w:rStyle w:val="ads"/>
          <w:rFonts w:ascii="Arial" w:eastAsia="Times New Roman" w:hAnsi="Arial" w:cs="Arial"/>
          <w:color w:val="000000"/>
          <w:sz w:val="20"/>
          <w:szCs w:val="20"/>
          <w:lang w:eastAsia="en-GB"/>
        </w:rPr>
        <w:t>Finally, w</w:t>
      </w:r>
      <w:r w:rsidR="00CF1C0F">
        <w:rPr>
          <w:rStyle w:val="ads"/>
          <w:rFonts w:ascii="Arial" w:eastAsia="Times New Roman" w:hAnsi="Arial" w:cs="Arial"/>
          <w:color w:val="000000"/>
          <w:sz w:val="20"/>
          <w:szCs w:val="20"/>
          <w:lang w:eastAsia="en-GB"/>
        </w:rPr>
        <w:t>e would like to welcome Julia Robertson as Independent Non-Executive Dire</w:t>
      </w:r>
      <w:r w:rsidR="00270D68">
        <w:rPr>
          <w:rStyle w:val="ads"/>
          <w:rFonts w:ascii="Arial" w:eastAsia="Times New Roman" w:hAnsi="Arial" w:cs="Arial"/>
          <w:color w:val="000000"/>
          <w:sz w:val="20"/>
          <w:szCs w:val="20"/>
          <w:lang w:eastAsia="en-GB"/>
        </w:rPr>
        <w:t xml:space="preserve">ctor. Julia </w:t>
      </w:r>
      <w:r w:rsidR="00937D1F">
        <w:rPr>
          <w:rStyle w:val="ads"/>
          <w:rFonts w:ascii="Arial" w:eastAsia="Times New Roman" w:hAnsi="Arial" w:cs="Arial"/>
          <w:color w:val="000000"/>
          <w:sz w:val="20"/>
          <w:szCs w:val="20"/>
          <w:lang w:eastAsia="en-GB"/>
        </w:rPr>
        <w:t>is</w:t>
      </w:r>
      <w:r w:rsidR="00270D68">
        <w:rPr>
          <w:rStyle w:val="ads"/>
          <w:rFonts w:ascii="Arial" w:eastAsia="Times New Roman" w:hAnsi="Arial" w:cs="Arial"/>
          <w:color w:val="000000"/>
          <w:sz w:val="20"/>
          <w:szCs w:val="20"/>
          <w:lang w:eastAsia="en-GB"/>
        </w:rPr>
        <w:t xml:space="preserve"> Group Chief Executive Officer of </w:t>
      </w:r>
      <w:r w:rsidR="00AA2A66">
        <w:rPr>
          <w:rStyle w:val="ads"/>
          <w:rFonts w:ascii="Arial" w:eastAsia="Times New Roman" w:hAnsi="Arial" w:cs="Arial"/>
          <w:color w:val="000000"/>
          <w:sz w:val="20"/>
          <w:szCs w:val="20"/>
          <w:lang w:eastAsia="en-GB"/>
        </w:rPr>
        <w:t xml:space="preserve">Headfirst Global plc </w:t>
      </w:r>
      <w:r w:rsidR="005B7186">
        <w:rPr>
          <w:rStyle w:val="ads"/>
          <w:rFonts w:ascii="Arial" w:eastAsia="Times New Roman" w:hAnsi="Arial" w:cs="Arial"/>
          <w:color w:val="000000"/>
          <w:sz w:val="20"/>
          <w:szCs w:val="20"/>
          <w:lang w:eastAsia="en-GB"/>
        </w:rPr>
        <w:t>and brings a wealth of experience</w:t>
      </w:r>
      <w:r w:rsidR="00270D68">
        <w:rPr>
          <w:rStyle w:val="ads"/>
          <w:rFonts w:ascii="Arial" w:eastAsia="Times New Roman" w:hAnsi="Arial" w:cs="Arial"/>
          <w:color w:val="000000"/>
          <w:sz w:val="20"/>
          <w:szCs w:val="20"/>
          <w:lang w:eastAsia="en-GB"/>
        </w:rPr>
        <w:t xml:space="preserve">. </w:t>
      </w:r>
    </w:p>
    <w:p w14:paraId="52BCE898" w14:textId="10B64D02" w:rsidR="00631AE2" w:rsidRDefault="00631AE2" w:rsidP="00631AE2">
      <w:pPr>
        <w:jc w:val="both"/>
        <w:rPr>
          <w:rFonts w:ascii="Arial" w:hAnsi="Arial" w:cs="Arial"/>
          <w:sz w:val="20"/>
          <w:szCs w:val="20"/>
        </w:rPr>
      </w:pPr>
      <w:r w:rsidRPr="00811359">
        <w:rPr>
          <w:rFonts w:ascii="Arial" w:hAnsi="Arial" w:cs="Arial"/>
          <w:b/>
          <w:bCs/>
          <w:sz w:val="20"/>
          <w:szCs w:val="20"/>
        </w:rPr>
        <w:lastRenderedPageBreak/>
        <w:t>Outlook</w:t>
      </w:r>
      <w:r w:rsidRPr="00811359">
        <w:rPr>
          <w:rFonts w:ascii="Arial" w:hAnsi="Arial" w:cs="Arial"/>
          <w:sz w:val="20"/>
          <w:szCs w:val="20"/>
        </w:rPr>
        <w:t xml:space="preserve"> </w:t>
      </w:r>
    </w:p>
    <w:p w14:paraId="27D767BF" w14:textId="49E81D98" w:rsidR="0016786E" w:rsidRDefault="00016BA1" w:rsidP="00F550DB">
      <w:pPr>
        <w:jc w:val="both"/>
        <w:rPr>
          <w:rFonts w:ascii="Arial" w:hAnsi="Arial" w:cs="Arial"/>
          <w:sz w:val="20"/>
          <w:szCs w:val="20"/>
        </w:rPr>
      </w:pPr>
      <w:r>
        <w:rPr>
          <w:rFonts w:ascii="Arial" w:hAnsi="Arial" w:cs="Arial"/>
          <w:sz w:val="20"/>
          <w:szCs w:val="20"/>
        </w:rPr>
        <w:t xml:space="preserve">The year has started well, and we continue to see strong demand for our </w:t>
      </w:r>
      <w:r w:rsidR="00292B05">
        <w:rPr>
          <w:rFonts w:ascii="Arial" w:hAnsi="Arial" w:cs="Arial"/>
          <w:sz w:val="20"/>
          <w:szCs w:val="20"/>
        </w:rPr>
        <w:t>business-critical</w:t>
      </w:r>
      <w:r>
        <w:rPr>
          <w:rFonts w:ascii="Arial" w:hAnsi="Arial" w:cs="Arial"/>
          <w:sz w:val="20"/>
          <w:szCs w:val="20"/>
        </w:rPr>
        <w:t xml:space="preserve"> services. We expect to deliver mid-single digit organic </w:t>
      </w:r>
      <w:r w:rsidR="009F4927">
        <w:rPr>
          <w:rFonts w:ascii="Arial" w:hAnsi="Arial" w:cs="Arial"/>
          <w:sz w:val="20"/>
          <w:szCs w:val="20"/>
        </w:rPr>
        <w:t xml:space="preserve">revenue </w:t>
      </w:r>
      <w:r>
        <w:rPr>
          <w:rFonts w:ascii="Arial" w:hAnsi="Arial" w:cs="Arial"/>
          <w:sz w:val="20"/>
          <w:szCs w:val="20"/>
        </w:rPr>
        <w:t xml:space="preserve">growth across our TIC division and </w:t>
      </w:r>
      <w:r w:rsidR="00D25C1A">
        <w:rPr>
          <w:rFonts w:ascii="Arial" w:hAnsi="Arial" w:cs="Arial"/>
          <w:sz w:val="20"/>
          <w:szCs w:val="20"/>
        </w:rPr>
        <w:t xml:space="preserve">maintain </w:t>
      </w:r>
      <w:r>
        <w:rPr>
          <w:rFonts w:ascii="Arial" w:hAnsi="Arial" w:cs="Arial"/>
          <w:sz w:val="20"/>
          <w:szCs w:val="20"/>
        </w:rPr>
        <w:t xml:space="preserve">Occupational Health </w:t>
      </w:r>
      <w:r w:rsidR="00D25C1A">
        <w:rPr>
          <w:rFonts w:ascii="Arial" w:hAnsi="Arial" w:cs="Arial"/>
          <w:sz w:val="20"/>
          <w:szCs w:val="20"/>
        </w:rPr>
        <w:t xml:space="preserve">revenues </w:t>
      </w:r>
      <w:r>
        <w:rPr>
          <w:rFonts w:ascii="Arial" w:hAnsi="Arial" w:cs="Arial"/>
          <w:sz w:val="20"/>
          <w:szCs w:val="20"/>
        </w:rPr>
        <w:t>as</w:t>
      </w:r>
      <w:r w:rsidR="009F4927">
        <w:rPr>
          <w:rFonts w:ascii="Arial" w:hAnsi="Arial" w:cs="Arial"/>
          <w:sz w:val="20"/>
          <w:szCs w:val="20"/>
        </w:rPr>
        <w:t xml:space="preserve"> strong</w:t>
      </w:r>
      <w:r>
        <w:rPr>
          <w:rFonts w:ascii="Arial" w:hAnsi="Arial" w:cs="Arial"/>
          <w:sz w:val="20"/>
          <w:szCs w:val="20"/>
        </w:rPr>
        <w:t xml:space="preserve"> new business </w:t>
      </w:r>
      <w:r w:rsidR="009F4927">
        <w:rPr>
          <w:rFonts w:ascii="Arial" w:hAnsi="Arial" w:cs="Arial"/>
          <w:sz w:val="20"/>
          <w:szCs w:val="20"/>
        </w:rPr>
        <w:t xml:space="preserve">wins are </w:t>
      </w:r>
      <w:r w:rsidR="00297C0C">
        <w:rPr>
          <w:rFonts w:ascii="Arial" w:hAnsi="Arial" w:cs="Arial"/>
          <w:sz w:val="20"/>
          <w:szCs w:val="20"/>
        </w:rPr>
        <w:t>onboarded</w:t>
      </w:r>
      <w:r w:rsidR="00471717">
        <w:rPr>
          <w:rFonts w:ascii="Arial" w:hAnsi="Arial" w:cs="Arial"/>
          <w:sz w:val="20"/>
          <w:szCs w:val="20"/>
        </w:rPr>
        <w:t xml:space="preserve"> and </w:t>
      </w:r>
      <w:r>
        <w:rPr>
          <w:rFonts w:ascii="Arial" w:hAnsi="Arial" w:cs="Arial"/>
          <w:sz w:val="20"/>
          <w:szCs w:val="20"/>
        </w:rPr>
        <w:t>replace the</w:t>
      </w:r>
      <w:r w:rsidR="0067422B">
        <w:rPr>
          <w:rFonts w:ascii="Arial" w:hAnsi="Arial" w:cs="Arial"/>
          <w:sz w:val="20"/>
          <w:szCs w:val="20"/>
        </w:rPr>
        <w:t xml:space="preserve"> impact of</w:t>
      </w:r>
      <w:r>
        <w:rPr>
          <w:rFonts w:ascii="Arial" w:hAnsi="Arial" w:cs="Arial"/>
          <w:sz w:val="20"/>
          <w:szCs w:val="20"/>
        </w:rPr>
        <w:t xml:space="preserve"> </w:t>
      </w:r>
      <w:r w:rsidR="00875915">
        <w:rPr>
          <w:rFonts w:ascii="Arial" w:hAnsi="Arial" w:cs="Arial"/>
          <w:sz w:val="20"/>
          <w:szCs w:val="20"/>
        </w:rPr>
        <w:t xml:space="preserve">the </w:t>
      </w:r>
      <w:r>
        <w:rPr>
          <w:rFonts w:ascii="Arial" w:hAnsi="Arial" w:cs="Arial"/>
          <w:sz w:val="20"/>
          <w:szCs w:val="20"/>
        </w:rPr>
        <w:t xml:space="preserve">lost </w:t>
      </w:r>
      <w:r w:rsidR="00875915">
        <w:rPr>
          <w:rFonts w:ascii="Arial" w:hAnsi="Arial" w:cs="Arial"/>
          <w:sz w:val="20"/>
          <w:szCs w:val="20"/>
        </w:rPr>
        <w:t>contracts</w:t>
      </w:r>
      <w:r w:rsidR="009F4927">
        <w:rPr>
          <w:rFonts w:ascii="Arial" w:hAnsi="Arial" w:cs="Arial"/>
          <w:sz w:val="20"/>
          <w:szCs w:val="20"/>
        </w:rPr>
        <w:t>.</w:t>
      </w:r>
      <w:r w:rsidR="0016786E">
        <w:rPr>
          <w:rFonts w:ascii="Arial" w:hAnsi="Arial" w:cs="Arial"/>
          <w:sz w:val="20"/>
          <w:szCs w:val="20"/>
        </w:rPr>
        <w:t xml:space="preserve"> The Group is focused on driving margin enhancement and expects to deliver high single digit adjusted EBITDA growth. </w:t>
      </w:r>
      <w:r w:rsidR="006439F7">
        <w:rPr>
          <w:rFonts w:ascii="Arial" w:hAnsi="Arial" w:cs="Arial"/>
          <w:sz w:val="20"/>
          <w:szCs w:val="20"/>
        </w:rPr>
        <w:t xml:space="preserve"> </w:t>
      </w:r>
    </w:p>
    <w:p w14:paraId="667234C4" w14:textId="3AC13581" w:rsidR="009F4927" w:rsidRPr="0016786E" w:rsidRDefault="00F550DB" w:rsidP="00403C08">
      <w:pPr>
        <w:jc w:val="both"/>
        <w:rPr>
          <w:rFonts w:ascii="Arial" w:hAnsi="Arial" w:cs="Arial"/>
          <w:sz w:val="20"/>
          <w:szCs w:val="20"/>
        </w:rPr>
      </w:pPr>
      <w:r>
        <w:rPr>
          <w:rFonts w:ascii="Arial" w:hAnsi="Arial" w:cs="Arial"/>
          <w:sz w:val="20"/>
          <w:szCs w:val="20"/>
        </w:rPr>
        <w:t xml:space="preserve">The Group expects to finalise the </w:t>
      </w:r>
      <w:r w:rsidRPr="00F550DB">
        <w:rPr>
          <w:rFonts w:ascii="Arial" w:hAnsi="Arial" w:cs="Arial"/>
          <w:sz w:val="20"/>
          <w:szCs w:val="20"/>
        </w:rPr>
        <w:t>remaining integration programmes across TIC and OH by 30 September 2024</w:t>
      </w:r>
      <w:r>
        <w:rPr>
          <w:rFonts w:ascii="Arial" w:hAnsi="Arial" w:cs="Arial"/>
          <w:sz w:val="20"/>
          <w:szCs w:val="20"/>
        </w:rPr>
        <w:t xml:space="preserve"> with </w:t>
      </w:r>
      <w:r w:rsidRPr="00F550DB">
        <w:rPr>
          <w:rFonts w:ascii="Arial" w:hAnsi="Arial" w:cs="Arial"/>
          <w:sz w:val="20"/>
          <w:szCs w:val="20"/>
        </w:rPr>
        <w:t>no further integration costs expected in H2 FY2</w:t>
      </w:r>
      <w:r>
        <w:rPr>
          <w:rFonts w:ascii="Arial" w:hAnsi="Arial" w:cs="Arial"/>
          <w:sz w:val="20"/>
          <w:szCs w:val="20"/>
        </w:rPr>
        <w:t xml:space="preserve">5. </w:t>
      </w:r>
      <w:r>
        <w:rPr>
          <w:rStyle w:val="ads"/>
          <w:rFonts w:ascii="Arial" w:eastAsia="Times New Roman" w:hAnsi="Arial" w:cs="Arial"/>
          <w:color w:val="000000"/>
          <w:sz w:val="20"/>
          <w:szCs w:val="20"/>
          <w:lang w:eastAsia="en-GB"/>
        </w:rPr>
        <w:t>The</w:t>
      </w:r>
      <w:r w:rsidR="00403C08">
        <w:rPr>
          <w:rStyle w:val="ads"/>
          <w:rFonts w:ascii="Arial" w:eastAsia="Times New Roman" w:hAnsi="Arial" w:cs="Arial"/>
          <w:color w:val="000000"/>
          <w:sz w:val="20"/>
          <w:szCs w:val="20"/>
          <w:lang w:eastAsia="en-GB"/>
        </w:rPr>
        <w:t xml:space="preserve"> Board</w:t>
      </w:r>
      <w:r w:rsidR="008E3BDE">
        <w:rPr>
          <w:rStyle w:val="ads"/>
          <w:rFonts w:ascii="Arial" w:eastAsia="Times New Roman" w:hAnsi="Arial" w:cs="Arial"/>
          <w:color w:val="000000"/>
          <w:sz w:val="20"/>
          <w:szCs w:val="20"/>
          <w:lang w:eastAsia="en-GB"/>
        </w:rPr>
        <w:t xml:space="preserve"> retains the flexibility </w:t>
      </w:r>
      <w:r w:rsidR="00403C08">
        <w:rPr>
          <w:rStyle w:val="ads"/>
          <w:rFonts w:ascii="Arial" w:eastAsia="Times New Roman" w:hAnsi="Arial" w:cs="Arial"/>
          <w:color w:val="000000"/>
          <w:sz w:val="20"/>
          <w:szCs w:val="20"/>
          <w:lang w:eastAsia="en-GB"/>
        </w:rPr>
        <w:t>to use the remaining net cash proceeds</w:t>
      </w:r>
      <w:r w:rsidR="0083220C">
        <w:rPr>
          <w:rStyle w:val="ads"/>
          <w:rFonts w:ascii="Arial" w:eastAsia="Times New Roman" w:hAnsi="Arial" w:cs="Arial"/>
          <w:color w:val="000000"/>
          <w:sz w:val="20"/>
          <w:szCs w:val="20"/>
          <w:lang w:eastAsia="en-GB"/>
        </w:rPr>
        <w:t xml:space="preserve"> from the Divestment</w:t>
      </w:r>
      <w:r w:rsidR="00403C08">
        <w:rPr>
          <w:rStyle w:val="ads"/>
          <w:rFonts w:ascii="Arial" w:eastAsia="Times New Roman" w:hAnsi="Arial" w:cs="Arial"/>
          <w:color w:val="000000"/>
          <w:sz w:val="20"/>
          <w:szCs w:val="20"/>
          <w:lang w:eastAsia="en-GB"/>
        </w:rPr>
        <w:t xml:space="preserve"> alongside th</w:t>
      </w:r>
      <w:r>
        <w:rPr>
          <w:rStyle w:val="ads"/>
          <w:rFonts w:ascii="Arial" w:eastAsia="Times New Roman" w:hAnsi="Arial" w:cs="Arial"/>
          <w:color w:val="000000"/>
          <w:sz w:val="20"/>
          <w:szCs w:val="20"/>
          <w:lang w:eastAsia="en-GB"/>
        </w:rPr>
        <w:t xml:space="preserve">e Group’s </w:t>
      </w:r>
      <w:r w:rsidR="00403C08">
        <w:rPr>
          <w:rStyle w:val="ads"/>
          <w:rFonts w:ascii="Arial" w:eastAsia="Times New Roman" w:hAnsi="Arial" w:cs="Arial"/>
          <w:color w:val="000000"/>
          <w:sz w:val="20"/>
          <w:szCs w:val="20"/>
          <w:lang w:eastAsia="en-GB"/>
        </w:rPr>
        <w:t xml:space="preserve">strong cash </w:t>
      </w:r>
      <w:r w:rsidR="009A70F6">
        <w:rPr>
          <w:rStyle w:val="ads"/>
          <w:rFonts w:ascii="Arial" w:eastAsia="Times New Roman" w:hAnsi="Arial" w:cs="Arial"/>
          <w:color w:val="000000"/>
          <w:sz w:val="20"/>
          <w:szCs w:val="20"/>
          <w:lang w:eastAsia="en-GB"/>
        </w:rPr>
        <w:t>generation to</w:t>
      </w:r>
      <w:r w:rsidR="008E3BDE">
        <w:rPr>
          <w:rStyle w:val="ads"/>
          <w:rFonts w:ascii="Arial" w:eastAsia="Times New Roman" w:hAnsi="Arial" w:cs="Arial"/>
          <w:color w:val="000000"/>
          <w:sz w:val="20"/>
          <w:szCs w:val="20"/>
          <w:lang w:eastAsia="en-GB"/>
        </w:rPr>
        <w:t xml:space="preserve"> return</w:t>
      </w:r>
      <w:r w:rsidR="00A60FCB">
        <w:rPr>
          <w:rStyle w:val="ads"/>
          <w:rFonts w:ascii="Arial" w:eastAsia="Times New Roman" w:hAnsi="Arial" w:cs="Arial"/>
          <w:color w:val="000000"/>
          <w:sz w:val="20"/>
          <w:szCs w:val="20"/>
          <w:lang w:eastAsia="en-GB"/>
        </w:rPr>
        <w:t xml:space="preserve"> </w:t>
      </w:r>
      <w:r w:rsidR="00403C08">
        <w:rPr>
          <w:rStyle w:val="ads"/>
          <w:rFonts w:ascii="Arial" w:eastAsia="Times New Roman" w:hAnsi="Arial" w:cs="Arial"/>
          <w:color w:val="000000"/>
          <w:sz w:val="20"/>
          <w:szCs w:val="20"/>
          <w:lang w:eastAsia="en-GB"/>
        </w:rPr>
        <w:t xml:space="preserve">further return capital </w:t>
      </w:r>
      <w:r w:rsidR="008E3BDE">
        <w:rPr>
          <w:rStyle w:val="ads"/>
          <w:rFonts w:ascii="Arial" w:eastAsia="Times New Roman" w:hAnsi="Arial" w:cs="Arial"/>
          <w:color w:val="000000"/>
          <w:sz w:val="20"/>
          <w:szCs w:val="20"/>
          <w:lang w:eastAsia="en-GB"/>
        </w:rPr>
        <w:t xml:space="preserve">or to pursue carefully selected bolt-on acquisitions where appropriate. </w:t>
      </w:r>
    </w:p>
    <w:p w14:paraId="70762739" w14:textId="068DE2D3" w:rsidR="008041C0" w:rsidRDefault="006439F7" w:rsidP="00CA6B77">
      <w:pPr>
        <w:jc w:val="both"/>
        <w:rPr>
          <w:rFonts w:ascii="Arial" w:hAnsi="Arial" w:cs="Arial"/>
          <w:sz w:val="20"/>
          <w:szCs w:val="20"/>
        </w:rPr>
      </w:pPr>
      <w:r>
        <w:rPr>
          <w:rFonts w:ascii="Arial" w:hAnsi="Arial" w:cs="Arial"/>
          <w:sz w:val="20"/>
          <w:szCs w:val="20"/>
        </w:rPr>
        <w:t xml:space="preserve">In the medium term we expect both businesses to </w:t>
      </w:r>
      <w:r w:rsidR="001670E1">
        <w:rPr>
          <w:rFonts w:ascii="Arial" w:hAnsi="Arial" w:cs="Arial"/>
          <w:sz w:val="20"/>
          <w:szCs w:val="20"/>
        </w:rPr>
        <w:t>deliver mid-single digit organic growth</w:t>
      </w:r>
      <w:r>
        <w:rPr>
          <w:rFonts w:ascii="Arial" w:hAnsi="Arial" w:cs="Arial"/>
          <w:sz w:val="20"/>
          <w:szCs w:val="20"/>
        </w:rPr>
        <w:t xml:space="preserve"> as we leverage our scale</w:t>
      </w:r>
      <w:r w:rsidR="00D25C1A">
        <w:rPr>
          <w:rFonts w:ascii="Arial" w:hAnsi="Arial" w:cs="Arial"/>
          <w:sz w:val="20"/>
          <w:szCs w:val="20"/>
        </w:rPr>
        <w:t xml:space="preserve"> and </w:t>
      </w:r>
      <w:r>
        <w:rPr>
          <w:rFonts w:ascii="Arial" w:hAnsi="Arial" w:cs="Arial"/>
          <w:sz w:val="20"/>
          <w:szCs w:val="20"/>
        </w:rPr>
        <w:t>upsell</w:t>
      </w:r>
      <w:r w:rsidR="00420B97">
        <w:rPr>
          <w:rFonts w:ascii="Arial" w:hAnsi="Arial" w:cs="Arial"/>
          <w:sz w:val="20"/>
          <w:szCs w:val="20"/>
        </w:rPr>
        <w:t xml:space="preserve">, in addition to </w:t>
      </w:r>
      <w:r>
        <w:rPr>
          <w:rFonts w:ascii="Arial" w:hAnsi="Arial" w:cs="Arial"/>
          <w:sz w:val="20"/>
          <w:szCs w:val="20"/>
        </w:rPr>
        <w:t>cross-sell within our TIC division.</w:t>
      </w:r>
    </w:p>
    <w:p w14:paraId="2F736FD0" w14:textId="77777777" w:rsidR="00767349" w:rsidRPr="00767349" w:rsidRDefault="00767349" w:rsidP="00CA6B77">
      <w:pPr>
        <w:jc w:val="both"/>
        <w:rPr>
          <w:rFonts w:ascii="Arial" w:hAnsi="Arial" w:cs="Arial"/>
          <w:sz w:val="20"/>
          <w:szCs w:val="20"/>
        </w:rPr>
      </w:pPr>
    </w:p>
    <w:p w14:paraId="1EDDE8E5" w14:textId="77777777" w:rsidR="00F7782D" w:rsidRDefault="00F7782D" w:rsidP="00CA6B77">
      <w:pPr>
        <w:jc w:val="both"/>
        <w:rPr>
          <w:rFonts w:ascii="Arial" w:hAnsi="Arial" w:cs="Arial"/>
          <w:b/>
          <w:bCs/>
          <w:sz w:val="20"/>
          <w:szCs w:val="20"/>
        </w:rPr>
      </w:pPr>
    </w:p>
    <w:p w14:paraId="05D904AD" w14:textId="77777777" w:rsidR="00F7782D" w:rsidRDefault="00F7782D" w:rsidP="00CA6B77">
      <w:pPr>
        <w:jc w:val="both"/>
        <w:rPr>
          <w:rFonts w:ascii="Arial" w:hAnsi="Arial" w:cs="Arial"/>
          <w:b/>
          <w:bCs/>
          <w:sz w:val="20"/>
          <w:szCs w:val="20"/>
        </w:rPr>
      </w:pPr>
    </w:p>
    <w:p w14:paraId="67455D34" w14:textId="77777777" w:rsidR="00F7782D" w:rsidRDefault="00F7782D" w:rsidP="00CA6B77">
      <w:pPr>
        <w:jc w:val="both"/>
        <w:rPr>
          <w:rFonts w:ascii="Arial" w:hAnsi="Arial" w:cs="Arial"/>
          <w:b/>
          <w:bCs/>
          <w:sz w:val="20"/>
          <w:szCs w:val="20"/>
        </w:rPr>
      </w:pPr>
    </w:p>
    <w:p w14:paraId="13EDF5C1" w14:textId="77777777" w:rsidR="00177EF6" w:rsidRDefault="00177EF6" w:rsidP="00CA6B77">
      <w:pPr>
        <w:jc w:val="both"/>
        <w:rPr>
          <w:rFonts w:ascii="Arial" w:hAnsi="Arial" w:cs="Arial"/>
          <w:b/>
          <w:bCs/>
          <w:sz w:val="20"/>
          <w:szCs w:val="20"/>
        </w:rPr>
      </w:pPr>
    </w:p>
    <w:p w14:paraId="075E1619" w14:textId="77777777" w:rsidR="0051500E" w:rsidRDefault="0051500E" w:rsidP="00CA6B77">
      <w:pPr>
        <w:jc w:val="both"/>
        <w:rPr>
          <w:rFonts w:ascii="Arial" w:hAnsi="Arial" w:cs="Arial"/>
          <w:b/>
          <w:bCs/>
          <w:sz w:val="20"/>
          <w:szCs w:val="20"/>
        </w:rPr>
      </w:pPr>
    </w:p>
    <w:p w14:paraId="38DF460E" w14:textId="77777777" w:rsidR="0051500E" w:rsidRDefault="0051500E" w:rsidP="00CA6B77">
      <w:pPr>
        <w:jc w:val="both"/>
        <w:rPr>
          <w:rFonts w:ascii="Arial" w:hAnsi="Arial" w:cs="Arial"/>
          <w:b/>
          <w:bCs/>
          <w:sz w:val="20"/>
          <w:szCs w:val="20"/>
        </w:rPr>
      </w:pPr>
    </w:p>
    <w:p w14:paraId="5DF0E801" w14:textId="77777777" w:rsidR="0051500E" w:rsidRDefault="0051500E" w:rsidP="00CA6B77">
      <w:pPr>
        <w:jc w:val="both"/>
        <w:rPr>
          <w:rFonts w:ascii="Arial" w:hAnsi="Arial" w:cs="Arial"/>
          <w:b/>
          <w:bCs/>
          <w:sz w:val="20"/>
          <w:szCs w:val="20"/>
        </w:rPr>
      </w:pPr>
    </w:p>
    <w:p w14:paraId="13021BA4" w14:textId="77777777" w:rsidR="0051500E" w:rsidRDefault="0051500E" w:rsidP="00CA6B77">
      <w:pPr>
        <w:jc w:val="both"/>
        <w:rPr>
          <w:rFonts w:ascii="Arial" w:hAnsi="Arial" w:cs="Arial"/>
          <w:b/>
          <w:bCs/>
          <w:sz w:val="20"/>
          <w:szCs w:val="20"/>
        </w:rPr>
      </w:pPr>
    </w:p>
    <w:p w14:paraId="230CC27B" w14:textId="77777777" w:rsidR="0051500E" w:rsidRDefault="0051500E" w:rsidP="00CA6B77">
      <w:pPr>
        <w:jc w:val="both"/>
        <w:rPr>
          <w:rFonts w:ascii="Arial" w:hAnsi="Arial" w:cs="Arial"/>
          <w:b/>
          <w:bCs/>
          <w:sz w:val="20"/>
          <w:szCs w:val="20"/>
        </w:rPr>
      </w:pPr>
    </w:p>
    <w:p w14:paraId="43C655E4" w14:textId="77777777" w:rsidR="0051500E" w:rsidRDefault="0051500E" w:rsidP="00CA6B77">
      <w:pPr>
        <w:jc w:val="both"/>
        <w:rPr>
          <w:rFonts w:ascii="Arial" w:hAnsi="Arial" w:cs="Arial"/>
          <w:b/>
          <w:bCs/>
          <w:sz w:val="20"/>
          <w:szCs w:val="20"/>
        </w:rPr>
      </w:pPr>
    </w:p>
    <w:p w14:paraId="06F30447" w14:textId="77777777" w:rsidR="0051500E" w:rsidRDefault="0051500E" w:rsidP="00CA6B77">
      <w:pPr>
        <w:jc w:val="both"/>
        <w:rPr>
          <w:rFonts w:ascii="Arial" w:hAnsi="Arial" w:cs="Arial"/>
          <w:b/>
          <w:bCs/>
          <w:sz w:val="20"/>
          <w:szCs w:val="20"/>
        </w:rPr>
      </w:pPr>
    </w:p>
    <w:p w14:paraId="42273FCB" w14:textId="77777777" w:rsidR="0051500E" w:rsidRDefault="0051500E" w:rsidP="00CA6B77">
      <w:pPr>
        <w:jc w:val="both"/>
        <w:rPr>
          <w:rFonts w:ascii="Arial" w:hAnsi="Arial" w:cs="Arial"/>
          <w:b/>
          <w:bCs/>
          <w:sz w:val="20"/>
          <w:szCs w:val="20"/>
        </w:rPr>
      </w:pPr>
    </w:p>
    <w:p w14:paraId="513ED63C" w14:textId="77777777" w:rsidR="0051500E" w:rsidRDefault="0051500E" w:rsidP="00CA6B77">
      <w:pPr>
        <w:jc w:val="both"/>
        <w:rPr>
          <w:rFonts w:ascii="Arial" w:hAnsi="Arial" w:cs="Arial"/>
          <w:b/>
          <w:bCs/>
          <w:sz w:val="20"/>
          <w:szCs w:val="20"/>
        </w:rPr>
      </w:pPr>
    </w:p>
    <w:p w14:paraId="06A8F308" w14:textId="77777777" w:rsidR="0051500E" w:rsidRDefault="0051500E" w:rsidP="00CA6B77">
      <w:pPr>
        <w:jc w:val="both"/>
        <w:rPr>
          <w:rFonts w:ascii="Arial" w:hAnsi="Arial" w:cs="Arial"/>
          <w:b/>
          <w:bCs/>
          <w:sz w:val="20"/>
          <w:szCs w:val="20"/>
        </w:rPr>
      </w:pPr>
    </w:p>
    <w:p w14:paraId="41B8E184" w14:textId="77777777" w:rsidR="0051500E" w:rsidRDefault="0051500E" w:rsidP="00CA6B77">
      <w:pPr>
        <w:jc w:val="both"/>
        <w:rPr>
          <w:rFonts w:ascii="Arial" w:hAnsi="Arial" w:cs="Arial"/>
          <w:b/>
          <w:bCs/>
          <w:sz w:val="20"/>
          <w:szCs w:val="20"/>
        </w:rPr>
      </w:pPr>
    </w:p>
    <w:p w14:paraId="45372329" w14:textId="77777777" w:rsidR="0051500E" w:rsidRDefault="0051500E" w:rsidP="00CA6B77">
      <w:pPr>
        <w:jc w:val="both"/>
        <w:rPr>
          <w:rFonts w:ascii="Arial" w:hAnsi="Arial" w:cs="Arial"/>
          <w:b/>
          <w:bCs/>
          <w:sz w:val="20"/>
          <w:szCs w:val="20"/>
        </w:rPr>
      </w:pPr>
    </w:p>
    <w:p w14:paraId="6B974DF8" w14:textId="77777777" w:rsidR="0051500E" w:rsidRDefault="0051500E" w:rsidP="00CA6B77">
      <w:pPr>
        <w:jc w:val="both"/>
        <w:rPr>
          <w:rFonts w:ascii="Arial" w:hAnsi="Arial" w:cs="Arial"/>
          <w:b/>
          <w:bCs/>
          <w:sz w:val="20"/>
          <w:szCs w:val="20"/>
        </w:rPr>
      </w:pPr>
    </w:p>
    <w:p w14:paraId="0C0D1092" w14:textId="77777777" w:rsidR="0051500E" w:rsidRDefault="0051500E" w:rsidP="00CA6B77">
      <w:pPr>
        <w:jc w:val="both"/>
        <w:rPr>
          <w:rFonts w:ascii="Arial" w:hAnsi="Arial" w:cs="Arial"/>
          <w:b/>
          <w:bCs/>
          <w:sz w:val="20"/>
          <w:szCs w:val="20"/>
        </w:rPr>
      </w:pPr>
    </w:p>
    <w:p w14:paraId="2526FD34" w14:textId="77777777" w:rsidR="0051500E" w:rsidRDefault="0051500E" w:rsidP="00CA6B77">
      <w:pPr>
        <w:jc w:val="both"/>
        <w:rPr>
          <w:rFonts w:ascii="Arial" w:hAnsi="Arial" w:cs="Arial"/>
          <w:b/>
          <w:bCs/>
          <w:sz w:val="20"/>
          <w:szCs w:val="20"/>
        </w:rPr>
      </w:pPr>
    </w:p>
    <w:p w14:paraId="35A5FBCD" w14:textId="77777777" w:rsidR="0051500E" w:rsidRDefault="0051500E" w:rsidP="00CA6B77">
      <w:pPr>
        <w:jc w:val="both"/>
        <w:rPr>
          <w:rFonts w:ascii="Arial" w:hAnsi="Arial" w:cs="Arial"/>
          <w:b/>
          <w:bCs/>
          <w:sz w:val="20"/>
          <w:szCs w:val="20"/>
        </w:rPr>
      </w:pPr>
    </w:p>
    <w:p w14:paraId="5F767487" w14:textId="77777777" w:rsidR="0051500E" w:rsidRDefault="0051500E" w:rsidP="00CA6B77">
      <w:pPr>
        <w:jc w:val="both"/>
        <w:rPr>
          <w:rFonts w:ascii="Arial" w:hAnsi="Arial" w:cs="Arial"/>
          <w:b/>
          <w:bCs/>
          <w:sz w:val="20"/>
          <w:szCs w:val="20"/>
        </w:rPr>
      </w:pPr>
    </w:p>
    <w:p w14:paraId="11425B46" w14:textId="77777777" w:rsidR="0051500E" w:rsidRDefault="0051500E" w:rsidP="00CA6B77">
      <w:pPr>
        <w:jc w:val="both"/>
        <w:rPr>
          <w:rFonts w:ascii="Arial" w:hAnsi="Arial" w:cs="Arial"/>
          <w:b/>
          <w:bCs/>
          <w:sz w:val="20"/>
          <w:szCs w:val="20"/>
        </w:rPr>
      </w:pPr>
    </w:p>
    <w:p w14:paraId="2B03EEB2" w14:textId="77777777" w:rsidR="0051500E" w:rsidRDefault="0051500E" w:rsidP="00CA6B77">
      <w:pPr>
        <w:jc w:val="both"/>
        <w:rPr>
          <w:rFonts w:ascii="Arial" w:hAnsi="Arial" w:cs="Arial"/>
          <w:b/>
          <w:bCs/>
          <w:sz w:val="20"/>
          <w:szCs w:val="20"/>
        </w:rPr>
      </w:pPr>
    </w:p>
    <w:p w14:paraId="6C9E8D39" w14:textId="77777777" w:rsidR="00F7782D" w:rsidRDefault="00F7782D" w:rsidP="00CA6B77">
      <w:pPr>
        <w:jc w:val="both"/>
        <w:rPr>
          <w:rFonts w:ascii="Arial" w:hAnsi="Arial" w:cs="Arial"/>
          <w:b/>
          <w:bCs/>
          <w:sz w:val="20"/>
          <w:szCs w:val="20"/>
        </w:rPr>
      </w:pPr>
    </w:p>
    <w:p w14:paraId="523576F6" w14:textId="77777777" w:rsidR="00F7782D" w:rsidRDefault="00F7782D" w:rsidP="00CA6B77">
      <w:pPr>
        <w:jc w:val="both"/>
        <w:rPr>
          <w:rFonts w:ascii="Arial" w:hAnsi="Arial" w:cs="Arial"/>
          <w:b/>
          <w:bCs/>
          <w:sz w:val="20"/>
          <w:szCs w:val="20"/>
        </w:rPr>
      </w:pPr>
    </w:p>
    <w:p w14:paraId="239E59A5" w14:textId="491E0CA8" w:rsidR="004C2F00" w:rsidRPr="0077073D" w:rsidRDefault="004C2F00" w:rsidP="00CA6B77">
      <w:pPr>
        <w:jc w:val="both"/>
        <w:rPr>
          <w:rFonts w:ascii="Arial" w:hAnsi="Arial" w:cs="Arial"/>
          <w:sz w:val="20"/>
          <w:szCs w:val="20"/>
        </w:rPr>
      </w:pPr>
      <w:r w:rsidRPr="00811359">
        <w:rPr>
          <w:rFonts w:ascii="Arial" w:hAnsi="Arial" w:cs="Arial"/>
          <w:b/>
          <w:bCs/>
          <w:sz w:val="20"/>
          <w:szCs w:val="20"/>
        </w:rPr>
        <w:lastRenderedPageBreak/>
        <w:t>Testing, Inspection &amp; Certification</w:t>
      </w:r>
    </w:p>
    <w:p w14:paraId="0B153356" w14:textId="4A5EA29D" w:rsidR="00A550CC" w:rsidRPr="00811359" w:rsidRDefault="008E0EBF" w:rsidP="00FC0B84">
      <w:pPr>
        <w:pStyle w:val="aea"/>
        <w:jc w:val="both"/>
        <w:rPr>
          <w:rFonts w:ascii="Arial" w:hAnsi="Arial" w:cs="Arial"/>
          <w:sz w:val="20"/>
          <w:szCs w:val="20"/>
        </w:rPr>
      </w:pPr>
      <w:r w:rsidRPr="0077073D">
        <w:rPr>
          <w:rFonts w:ascii="Arial" w:hAnsi="Arial" w:cs="Arial"/>
          <w:color w:val="000000"/>
          <w:sz w:val="20"/>
          <w:szCs w:val="20"/>
        </w:rPr>
        <w:t>The services we provide within our Testing, Inspection and Certification (</w:t>
      </w:r>
      <w:r w:rsidR="00420B97">
        <w:rPr>
          <w:rFonts w:ascii="Arial" w:hAnsi="Arial" w:cs="Arial"/>
          <w:color w:val="000000"/>
          <w:sz w:val="20"/>
          <w:szCs w:val="20"/>
        </w:rPr>
        <w:t>“</w:t>
      </w:r>
      <w:r w:rsidRPr="0077073D">
        <w:rPr>
          <w:rFonts w:ascii="Arial" w:hAnsi="Arial" w:cs="Arial"/>
          <w:color w:val="000000"/>
          <w:sz w:val="20"/>
          <w:szCs w:val="20"/>
        </w:rPr>
        <w:t>TIC</w:t>
      </w:r>
      <w:r w:rsidR="00420B97">
        <w:rPr>
          <w:rFonts w:ascii="Arial" w:hAnsi="Arial" w:cs="Arial"/>
          <w:color w:val="000000"/>
          <w:sz w:val="20"/>
          <w:szCs w:val="20"/>
        </w:rPr>
        <w:t>”</w:t>
      </w:r>
      <w:r w:rsidRPr="0077073D">
        <w:rPr>
          <w:rFonts w:ascii="Arial" w:hAnsi="Arial" w:cs="Arial"/>
          <w:color w:val="000000"/>
          <w:sz w:val="20"/>
          <w:szCs w:val="20"/>
        </w:rPr>
        <w:t>) division largely revolve around keeping our customers</w:t>
      </w:r>
      <w:r w:rsidR="00297C0C">
        <w:rPr>
          <w:rFonts w:ascii="Arial" w:hAnsi="Arial" w:cs="Arial"/>
          <w:color w:val="000000"/>
          <w:sz w:val="20"/>
          <w:szCs w:val="20"/>
        </w:rPr>
        <w:t>’</w:t>
      </w:r>
      <w:r w:rsidRPr="0077073D">
        <w:rPr>
          <w:rFonts w:ascii="Arial" w:hAnsi="Arial" w:cs="Arial"/>
          <w:color w:val="000000"/>
          <w:sz w:val="20"/>
          <w:szCs w:val="20"/>
        </w:rPr>
        <w:t xml:space="preserve"> business premises</w:t>
      </w:r>
      <w:r w:rsidR="00421057">
        <w:rPr>
          <w:rFonts w:ascii="Arial" w:hAnsi="Arial" w:cs="Arial"/>
          <w:color w:val="000000"/>
          <w:sz w:val="20"/>
          <w:szCs w:val="20"/>
        </w:rPr>
        <w:t xml:space="preserve"> safe and</w:t>
      </w:r>
      <w:r w:rsidRPr="0077073D">
        <w:rPr>
          <w:rFonts w:ascii="Arial" w:hAnsi="Arial" w:cs="Arial"/>
          <w:color w:val="000000"/>
          <w:sz w:val="20"/>
          <w:szCs w:val="20"/>
        </w:rPr>
        <w:t xml:space="preserve"> compliant with relevant regulation and legislation. Our services address compliance requirements across </w:t>
      </w:r>
      <w:r w:rsidR="0083220C">
        <w:rPr>
          <w:rFonts w:ascii="Arial" w:hAnsi="Arial" w:cs="Arial"/>
          <w:color w:val="000000"/>
          <w:sz w:val="20"/>
          <w:szCs w:val="20"/>
        </w:rPr>
        <w:t>F</w:t>
      </w:r>
      <w:r w:rsidRPr="0077073D">
        <w:rPr>
          <w:rFonts w:ascii="Arial" w:hAnsi="Arial" w:cs="Arial"/>
          <w:color w:val="000000"/>
          <w:sz w:val="20"/>
          <w:szCs w:val="20"/>
        </w:rPr>
        <w:t xml:space="preserve">ire </w:t>
      </w:r>
      <w:r w:rsidR="0083220C">
        <w:rPr>
          <w:rFonts w:ascii="Arial" w:hAnsi="Arial" w:cs="Arial"/>
          <w:color w:val="000000"/>
          <w:sz w:val="20"/>
          <w:szCs w:val="20"/>
        </w:rPr>
        <w:t>S</w:t>
      </w:r>
      <w:r w:rsidRPr="0077073D">
        <w:rPr>
          <w:rFonts w:ascii="Arial" w:hAnsi="Arial" w:cs="Arial"/>
          <w:color w:val="000000"/>
          <w:sz w:val="20"/>
          <w:szCs w:val="20"/>
        </w:rPr>
        <w:t xml:space="preserve">afety &amp; </w:t>
      </w:r>
      <w:r w:rsidR="0083220C">
        <w:rPr>
          <w:rFonts w:ascii="Arial" w:hAnsi="Arial" w:cs="Arial"/>
          <w:color w:val="000000"/>
          <w:sz w:val="20"/>
          <w:szCs w:val="20"/>
        </w:rPr>
        <w:t>S</w:t>
      </w:r>
      <w:r w:rsidRPr="0077073D">
        <w:rPr>
          <w:rFonts w:ascii="Arial" w:hAnsi="Arial" w:cs="Arial"/>
          <w:color w:val="000000"/>
          <w:sz w:val="20"/>
          <w:szCs w:val="20"/>
        </w:rPr>
        <w:t xml:space="preserve">ecurity, </w:t>
      </w:r>
      <w:r w:rsidR="002D623A" w:rsidRPr="0077073D">
        <w:rPr>
          <w:rFonts w:ascii="Arial" w:hAnsi="Arial" w:cs="Arial"/>
          <w:color w:val="000000"/>
          <w:sz w:val="20"/>
          <w:szCs w:val="20"/>
        </w:rPr>
        <w:t xml:space="preserve">and </w:t>
      </w:r>
      <w:r w:rsidR="0083220C">
        <w:rPr>
          <w:rFonts w:ascii="Arial" w:hAnsi="Arial" w:cs="Arial"/>
          <w:color w:val="000000"/>
          <w:sz w:val="20"/>
          <w:szCs w:val="20"/>
        </w:rPr>
        <w:t>W</w:t>
      </w:r>
      <w:r w:rsidRPr="0077073D">
        <w:rPr>
          <w:rFonts w:ascii="Arial" w:hAnsi="Arial" w:cs="Arial"/>
          <w:color w:val="000000"/>
          <w:sz w:val="20"/>
          <w:szCs w:val="20"/>
        </w:rPr>
        <w:t xml:space="preserve">ater &amp; </w:t>
      </w:r>
      <w:r w:rsidR="0083220C">
        <w:rPr>
          <w:rFonts w:ascii="Arial" w:hAnsi="Arial" w:cs="Arial"/>
          <w:color w:val="000000"/>
          <w:sz w:val="20"/>
          <w:szCs w:val="20"/>
        </w:rPr>
        <w:t>A</w:t>
      </w:r>
      <w:r w:rsidRPr="0077073D">
        <w:rPr>
          <w:rFonts w:ascii="Arial" w:hAnsi="Arial" w:cs="Arial"/>
          <w:color w:val="000000"/>
          <w:sz w:val="20"/>
          <w:szCs w:val="20"/>
        </w:rPr>
        <w:t xml:space="preserve">ir </w:t>
      </w:r>
      <w:r w:rsidR="0083220C">
        <w:rPr>
          <w:rFonts w:ascii="Arial" w:hAnsi="Arial" w:cs="Arial"/>
          <w:color w:val="000000"/>
          <w:sz w:val="20"/>
          <w:szCs w:val="20"/>
        </w:rPr>
        <w:t>H</w:t>
      </w:r>
      <w:r w:rsidRPr="0077073D">
        <w:rPr>
          <w:rFonts w:ascii="Arial" w:hAnsi="Arial" w:cs="Arial"/>
          <w:color w:val="000000"/>
          <w:sz w:val="20"/>
          <w:szCs w:val="20"/>
        </w:rPr>
        <w:t>ygiene.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536"/>
        <w:gridCol w:w="1536"/>
        <w:gridCol w:w="1536"/>
      </w:tblGrid>
      <w:tr w:rsidR="00B15B4C" w:rsidRPr="0077073D" w14:paraId="3A8E6C9E" w14:textId="77777777" w:rsidTr="00CB5A5E">
        <w:trPr>
          <w:trHeight w:val="340"/>
        </w:trPr>
        <w:tc>
          <w:tcPr>
            <w:tcW w:w="5102" w:type="dxa"/>
          </w:tcPr>
          <w:p w14:paraId="4D7342F4" w14:textId="77777777" w:rsidR="00B15B4C" w:rsidRPr="0077073D" w:rsidRDefault="00B15B4C" w:rsidP="00B15B4C">
            <w:pPr>
              <w:jc w:val="both"/>
              <w:rPr>
                <w:rFonts w:ascii="Arial" w:hAnsi="Arial" w:cs="Arial"/>
                <w:sz w:val="20"/>
                <w:szCs w:val="20"/>
              </w:rPr>
            </w:pPr>
          </w:p>
        </w:tc>
        <w:tc>
          <w:tcPr>
            <w:tcW w:w="1536" w:type="dxa"/>
            <w:vMerge w:val="restart"/>
            <w:vAlign w:val="bottom"/>
          </w:tcPr>
          <w:p w14:paraId="79353B43" w14:textId="26227009" w:rsidR="00B15B4C" w:rsidRPr="0077073D" w:rsidRDefault="00B15B4C" w:rsidP="00B15B4C">
            <w:pPr>
              <w:rPr>
                <w:rFonts w:ascii="Arial" w:hAnsi="Arial" w:cs="Arial"/>
                <w:sz w:val="20"/>
                <w:szCs w:val="20"/>
              </w:rPr>
            </w:pPr>
            <w:r w:rsidRPr="0077073D">
              <w:rPr>
                <w:rFonts w:ascii="Arial" w:hAnsi="Arial" w:cs="Arial"/>
                <w:sz w:val="20"/>
                <w:szCs w:val="20"/>
              </w:rPr>
              <w:t>FY2</w:t>
            </w:r>
            <w:r w:rsidR="001246F0">
              <w:rPr>
                <w:rFonts w:ascii="Arial" w:hAnsi="Arial" w:cs="Arial"/>
                <w:sz w:val="20"/>
                <w:szCs w:val="20"/>
              </w:rPr>
              <w:t>4</w:t>
            </w:r>
          </w:p>
        </w:tc>
        <w:tc>
          <w:tcPr>
            <w:tcW w:w="1536" w:type="dxa"/>
            <w:vMerge w:val="restart"/>
            <w:vAlign w:val="bottom"/>
          </w:tcPr>
          <w:p w14:paraId="5B31116A" w14:textId="20FFDB6F" w:rsidR="00B15B4C" w:rsidRPr="0077073D" w:rsidRDefault="00B15B4C" w:rsidP="00B15B4C">
            <w:pPr>
              <w:rPr>
                <w:rFonts w:ascii="Arial" w:hAnsi="Arial" w:cs="Arial"/>
                <w:sz w:val="20"/>
                <w:szCs w:val="20"/>
              </w:rPr>
            </w:pPr>
            <w:r w:rsidRPr="0077073D">
              <w:rPr>
                <w:rFonts w:ascii="Arial" w:hAnsi="Arial" w:cs="Arial"/>
                <w:sz w:val="20"/>
                <w:szCs w:val="20"/>
              </w:rPr>
              <w:t>FY2</w:t>
            </w:r>
            <w:r w:rsidR="001246F0">
              <w:rPr>
                <w:rFonts w:ascii="Arial" w:hAnsi="Arial" w:cs="Arial"/>
                <w:sz w:val="20"/>
                <w:szCs w:val="20"/>
              </w:rPr>
              <w:t>3</w:t>
            </w:r>
          </w:p>
        </w:tc>
        <w:tc>
          <w:tcPr>
            <w:tcW w:w="1536" w:type="dxa"/>
            <w:vMerge w:val="restart"/>
            <w:vAlign w:val="bottom"/>
          </w:tcPr>
          <w:p w14:paraId="0475E993" w14:textId="77777777" w:rsidR="00B15B4C" w:rsidRPr="0077073D" w:rsidRDefault="00B15B4C" w:rsidP="00B15B4C">
            <w:pPr>
              <w:rPr>
                <w:rFonts w:ascii="Arial" w:hAnsi="Arial" w:cs="Arial"/>
                <w:sz w:val="20"/>
                <w:szCs w:val="20"/>
              </w:rPr>
            </w:pPr>
            <w:r w:rsidRPr="0077073D">
              <w:rPr>
                <w:rFonts w:ascii="Arial" w:hAnsi="Arial" w:cs="Arial"/>
                <w:sz w:val="20"/>
                <w:szCs w:val="20"/>
              </w:rPr>
              <w:t>Change</w:t>
            </w:r>
          </w:p>
        </w:tc>
      </w:tr>
      <w:tr w:rsidR="004C2F00" w:rsidRPr="0077073D" w14:paraId="016A627B" w14:textId="77777777" w:rsidTr="00CB5A5E">
        <w:tc>
          <w:tcPr>
            <w:tcW w:w="5102" w:type="dxa"/>
            <w:tcBorders>
              <w:bottom w:val="single" w:sz="4" w:space="0" w:color="auto"/>
            </w:tcBorders>
          </w:tcPr>
          <w:p w14:paraId="04E9B66E" w14:textId="77777777" w:rsidR="004C2F00" w:rsidRPr="0077073D" w:rsidRDefault="004C2F00" w:rsidP="00CB5A5E">
            <w:pPr>
              <w:jc w:val="both"/>
              <w:rPr>
                <w:rFonts w:ascii="Arial" w:hAnsi="Arial" w:cs="Arial"/>
                <w:sz w:val="20"/>
                <w:szCs w:val="20"/>
              </w:rPr>
            </w:pPr>
          </w:p>
        </w:tc>
        <w:tc>
          <w:tcPr>
            <w:tcW w:w="1536" w:type="dxa"/>
            <w:vMerge/>
            <w:tcBorders>
              <w:bottom w:val="single" w:sz="4" w:space="0" w:color="auto"/>
            </w:tcBorders>
          </w:tcPr>
          <w:p w14:paraId="150842F3" w14:textId="77777777" w:rsidR="004C2F00" w:rsidRPr="0077073D" w:rsidRDefault="004C2F00" w:rsidP="00CB5A5E">
            <w:pPr>
              <w:jc w:val="both"/>
              <w:rPr>
                <w:rFonts w:ascii="Arial" w:hAnsi="Arial" w:cs="Arial"/>
                <w:sz w:val="20"/>
                <w:szCs w:val="20"/>
              </w:rPr>
            </w:pPr>
          </w:p>
        </w:tc>
        <w:tc>
          <w:tcPr>
            <w:tcW w:w="1536" w:type="dxa"/>
            <w:vMerge/>
            <w:tcBorders>
              <w:bottom w:val="single" w:sz="4" w:space="0" w:color="auto"/>
            </w:tcBorders>
          </w:tcPr>
          <w:p w14:paraId="78FD2576" w14:textId="77777777" w:rsidR="004C2F00" w:rsidRPr="0077073D" w:rsidRDefault="004C2F00" w:rsidP="00CB5A5E">
            <w:pPr>
              <w:jc w:val="both"/>
              <w:rPr>
                <w:rFonts w:ascii="Arial" w:hAnsi="Arial" w:cs="Arial"/>
                <w:sz w:val="20"/>
                <w:szCs w:val="20"/>
              </w:rPr>
            </w:pPr>
          </w:p>
        </w:tc>
        <w:tc>
          <w:tcPr>
            <w:tcW w:w="1536" w:type="dxa"/>
            <w:vMerge/>
            <w:tcBorders>
              <w:bottom w:val="single" w:sz="4" w:space="0" w:color="auto"/>
            </w:tcBorders>
          </w:tcPr>
          <w:p w14:paraId="2293211F" w14:textId="77777777" w:rsidR="004C2F00" w:rsidRPr="0077073D" w:rsidRDefault="004C2F00" w:rsidP="00CB5A5E">
            <w:pPr>
              <w:jc w:val="both"/>
              <w:rPr>
                <w:rFonts w:ascii="Arial" w:hAnsi="Arial" w:cs="Arial"/>
                <w:sz w:val="20"/>
                <w:szCs w:val="20"/>
              </w:rPr>
            </w:pPr>
          </w:p>
        </w:tc>
      </w:tr>
      <w:tr w:rsidR="00A12BE7" w:rsidRPr="0077073D" w14:paraId="0337D859" w14:textId="77777777" w:rsidTr="00CB5A5E">
        <w:tc>
          <w:tcPr>
            <w:tcW w:w="5102" w:type="dxa"/>
            <w:tcBorders>
              <w:top w:val="single" w:sz="4" w:space="0" w:color="auto"/>
            </w:tcBorders>
          </w:tcPr>
          <w:p w14:paraId="6950AF58" w14:textId="77777777" w:rsidR="00A12BE7" w:rsidRPr="0077073D" w:rsidRDefault="00A12BE7" w:rsidP="00A12BE7">
            <w:pPr>
              <w:jc w:val="both"/>
              <w:rPr>
                <w:rFonts w:ascii="Arial" w:hAnsi="Arial" w:cs="Arial"/>
                <w:sz w:val="20"/>
                <w:szCs w:val="20"/>
              </w:rPr>
            </w:pPr>
            <w:r w:rsidRPr="0077073D">
              <w:rPr>
                <w:rFonts w:ascii="Arial" w:hAnsi="Arial" w:cs="Arial"/>
                <w:sz w:val="20"/>
                <w:szCs w:val="20"/>
              </w:rPr>
              <w:t>Revenue</w:t>
            </w:r>
          </w:p>
        </w:tc>
        <w:tc>
          <w:tcPr>
            <w:tcW w:w="1536" w:type="dxa"/>
            <w:tcBorders>
              <w:top w:val="single" w:sz="4" w:space="0" w:color="auto"/>
            </w:tcBorders>
          </w:tcPr>
          <w:p w14:paraId="5763B8AE" w14:textId="212E7C11" w:rsidR="00A12BE7" w:rsidRPr="0077073D" w:rsidRDefault="00022101" w:rsidP="00A12BE7">
            <w:pPr>
              <w:jc w:val="both"/>
              <w:rPr>
                <w:rFonts w:ascii="Arial" w:hAnsi="Arial" w:cs="Arial"/>
                <w:sz w:val="20"/>
                <w:szCs w:val="20"/>
              </w:rPr>
            </w:pPr>
            <w:r>
              <w:rPr>
                <w:rFonts w:ascii="Arial" w:hAnsi="Arial" w:cs="Arial"/>
                <w:sz w:val="20"/>
                <w:szCs w:val="20"/>
              </w:rPr>
              <w:t>£</w:t>
            </w:r>
            <w:r w:rsidR="000B5743">
              <w:rPr>
                <w:rFonts w:ascii="Arial" w:hAnsi="Arial" w:cs="Arial"/>
                <w:sz w:val="20"/>
                <w:szCs w:val="20"/>
              </w:rPr>
              <w:t>292.</w:t>
            </w:r>
            <w:r w:rsidR="009A70F6">
              <w:rPr>
                <w:rFonts w:ascii="Arial" w:hAnsi="Arial" w:cs="Arial"/>
                <w:sz w:val="20"/>
                <w:szCs w:val="20"/>
              </w:rPr>
              <w:t>3</w:t>
            </w:r>
            <w:r>
              <w:rPr>
                <w:rFonts w:ascii="Arial" w:hAnsi="Arial" w:cs="Arial"/>
                <w:sz w:val="20"/>
                <w:szCs w:val="20"/>
              </w:rPr>
              <w:t>m</w:t>
            </w:r>
          </w:p>
        </w:tc>
        <w:tc>
          <w:tcPr>
            <w:tcW w:w="1536" w:type="dxa"/>
            <w:tcBorders>
              <w:top w:val="single" w:sz="4" w:space="0" w:color="auto"/>
            </w:tcBorders>
          </w:tcPr>
          <w:p w14:paraId="27B0DE3A" w14:textId="67D63DF6" w:rsidR="00A12BE7" w:rsidRPr="0077073D" w:rsidRDefault="00022101" w:rsidP="00A12BE7">
            <w:pPr>
              <w:jc w:val="both"/>
              <w:rPr>
                <w:rFonts w:ascii="Arial" w:hAnsi="Arial" w:cs="Arial"/>
                <w:sz w:val="20"/>
                <w:szCs w:val="20"/>
              </w:rPr>
            </w:pPr>
            <w:r>
              <w:rPr>
                <w:rFonts w:ascii="Arial" w:hAnsi="Arial" w:cs="Arial"/>
                <w:sz w:val="20"/>
                <w:szCs w:val="20"/>
              </w:rPr>
              <w:t>£</w:t>
            </w:r>
            <w:r w:rsidR="000B5743">
              <w:rPr>
                <w:rFonts w:ascii="Arial" w:hAnsi="Arial" w:cs="Arial"/>
                <w:sz w:val="20"/>
                <w:szCs w:val="20"/>
              </w:rPr>
              <w:t>266.3</w:t>
            </w:r>
            <w:r>
              <w:rPr>
                <w:rFonts w:ascii="Arial" w:hAnsi="Arial" w:cs="Arial"/>
                <w:sz w:val="20"/>
                <w:szCs w:val="20"/>
              </w:rPr>
              <w:t>m</w:t>
            </w:r>
          </w:p>
        </w:tc>
        <w:tc>
          <w:tcPr>
            <w:tcW w:w="1536" w:type="dxa"/>
            <w:tcBorders>
              <w:top w:val="single" w:sz="4" w:space="0" w:color="auto"/>
            </w:tcBorders>
          </w:tcPr>
          <w:p w14:paraId="474A29F1" w14:textId="129207DF" w:rsidR="00A12BE7" w:rsidRPr="0077073D" w:rsidRDefault="000B5743" w:rsidP="00A12BE7">
            <w:pPr>
              <w:jc w:val="both"/>
              <w:rPr>
                <w:rFonts w:ascii="Arial" w:hAnsi="Arial" w:cs="Arial"/>
                <w:sz w:val="20"/>
                <w:szCs w:val="20"/>
              </w:rPr>
            </w:pPr>
            <w:r>
              <w:rPr>
                <w:rFonts w:ascii="Arial" w:hAnsi="Arial" w:cs="Arial"/>
                <w:sz w:val="20"/>
                <w:szCs w:val="20"/>
              </w:rPr>
              <w:t>10%</w:t>
            </w:r>
          </w:p>
        </w:tc>
      </w:tr>
      <w:tr w:rsidR="00A12BE7" w:rsidRPr="0077073D" w14:paraId="06C34D13" w14:textId="77777777" w:rsidTr="00CB5A5E">
        <w:tc>
          <w:tcPr>
            <w:tcW w:w="5102" w:type="dxa"/>
          </w:tcPr>
          <w:p w14:paraId="107380FD" w14:textId="0F859692" w:rsidR="00A12BE7" w:rsidRPr="0077073D" w:rsidRDefault="00A12BE7" w:rsidP="00A12BE7">
            <w:pPr>
              <w:jc w:val="both"/>
              <w:rPr>
                <w:rFonts w:ascii="Arial" w:hAnsi="Arial" w:cs="Arial"/>
                <w:sz w:val="20"/>
                <w:szCs w:val="20"/>
              </w:rPr>
            </w:pPr>
            <w:r w:rsidRPr="0077073D">
              <w:rPr>
                <w:rFonts w:ascii="Arial" w:hAnsi="Arial" w:cs="Arial"/>
                <w:sz w:val="20"/>
                <w:szCs w:val="20"/>
              </w:rPr>
              <w:t>Adjusted EBITDA</w:t>
            </w:r>
            <w:r w:rsidRPr="0077073D">
              <w:rPr>
                <w:rStyle w:val="ads"/>
                <w:rFonts w:ascii="Arial" w:eastAsia="Times New Roman" w:hAnsi="Arial" w:cs="Arial"/>
                <w:color w:val="000000"/>
                <w:sz w:val="20"/>
                <w:szCs w:val="20"/>
                <w:vertAlign w:val="superscript"/>
              </w:rPr>
              <w:t>1,</w:t>
            </w:r>
            <w:r w:rsidRPr="0077073D">
              <w:rPr>
                <w:rFonts w:ascii="Arial" w:eastAsia="Times New Roman" w:hAnsi="Arial" w:cs="Arial"/>
                <w:color w:val="000000"/>
                <w:sz w:val="20"/>
                <w:szCs w:val="20"/>
                <w:vertAlign w:val="superscript"/>
              </w:rPr>
              <w:t>2</w:t>
            </w:r>
          </w:p>
        </w:tc>
        <w:tc>
          <w:tcPr>
            <w:tcW w:w="1536" w:type="dxa"/>
          </w:tcPr>
          <w:p w14:paraId="3A28154C" w14:textId="0F5A68BA" w:rsidR="00A12BE7" w:rsidRPr="0077073D" w:rsidRDefault="00022101" w:rsidP="00A12BE7">
            <w:pPr>
              <w:jc w:val="both"/>
              <w:rPr>
                <w:rFonts w:ascii="Arial" w:hAnsi="Arial" w:cs="Arial"/>
                <w:sz w:val="20"/>
                <w:szCs w:val="20"/>
              </w:rPr>
            </w:pPr>
            <w:r>
              <w:rPr>
                <w:rFonts w:ascii="Arial" w:hAnsi="Arial" w:cs="Arial"/>
                <w:sz w:val="20"/>
                <w:szCs w:val="20"/>
              </w:rPr>
              <w:t>£</w:t>
            </w:r>
            <w:r w:rsidR="000B5743">
              <w:rPr>
                <w:rFonts w:ascii="Arial" w:hAnsi="Arial" w:cs="Arial"/>
                <w:sz w:val="20"/>
                <w:szCs w:val="20"/>
              </w:rPr>
              <w:t>35.</w:t>
            </w:r>
            <w:r w:rsidR="009A70F6">
              <w:rPr>
                <w:rFonts w:ascii="Arial" w:hAnsi="Arial" w:cs="Arial"/>
                <w:sz w:val="20"/>
                <w:szCs w:val="20"/>
              </w:rPr>
              <w:t>2</w:t>
            </w:r>
            <w:r>
              <w:rPr>
                <w:rFonts w:ascii="Arial" w:hAnsi="Arial" w:cs="Arial"/>
                <w:sz w:val="20"/>
                <w:szCs w:val="20"/>
              </w:rPr>
              <w:t>m</w:t>
            </w:r>
          </w:p>
        </w:tc>
        <w:tc>
          <w:tcPr>
            <w:tcW w:w="1536" w:type="dxa"/>
          </w:tcPr>
          <w:p w14:paraId="2EC5D59C" w14:textId="2CB51FFE" w:rsidR="00A12BE7" w:rsidRPr="0077073D" w:rsidRDefault="00022101" w:rsidP="00A12BE7">
            <w:pPr>
              <w:jc w:val="both"/>
              <w:rPr>
                <w:rFonts w:ascii="Arial" w:hAnsi="Arial" w:cs="Arial"/>
                <w:sz w:val="20"/>
                <w:szCs w:val="20"/>
              </w:rPr>
            </w:pPr>
            <w:r>
              <w:rPr>
                <w:rFonts w:ascii="Arial" w:hAnsi="Arial" w:cs="Arial"/>
                <w:sz w:val="20"/>
                <w:szCs w:val="20"/>
              </w:rPr>
              <w:t>£</w:t>
            </w:r>
            <w:r w:rsidR="000B5743">
              <w:rPr>
                <w:rFonts w:ascii="Arial" w:hAnsi="Arial" w:cs="Arial"/>
                <w:sz w:val="20"/>
                <w:szCs w:val="20"/>
              </w:rPr>
              <w:t>34.3</w:t>
            </w:r>
            <w:r>
              <w:rPr>
                <w:rFonts w:ascii="Arial" w:hAnsi="Arial" w:cs="Arial"/>
                <w:sz w:val="20"/>
                <w:szCs w:val="20"/>
              </w:rPr>
              <w:t>m</w:t>
            </w:r>
          </w:p>
        </w:tc>
        <w:tc>
          <w:tcPr>
            <w:tcW w:w="1536" w:type="dxa"/>
          </w:tcPr>
          <w:p w14:paraId="76A082B5" w14:textId="0744A1A0" w:rsidR="00A12BE7" w:rsidRPr="0077073D" w:rsidRDefault="009A70F6" w:rsidP="00A12BE7">
            <w:pPr>
              <w:jc w:val="both"/>
              <w:rPr>
                <w:rFonts w:ascii="Arial" w:hAnsi="Arial" w:cs="Arial"/>
                <w:sz w:val="20"/>
                <w:szCs w:val="20"/>
              </w:rPr>
            </w:pPr>
            <w:r>
              <w:rPr>
                <w:rFonts w:ascii="Arial" w:hAnsi="Arial" w:cs="Arial"/>
                <w:sz w:val="20"/>
                <w:szCs w:val="20"/>
              </w:rPr>
              <w:t>3</w:t>
            </w:r>
            <w:r w:rsidR="000B5743">
              <w:rPr>
                <w:rFonts w:ascii="Arial" w:hAnsi="Arial" w:cs="Arial"/>
                <w:sz w:val="20"/>
                <w:szCs w:val="20"/>
              </w:rPr>
              <w:t>%</w:t>
            </w:r>
          </w:p>
        </w:tc>
      </w:tr>
      <w:tr w:rsidR="00A12BE7" w:rsidRPr="0077073D" w14:paraId="51B80C48" w14:textId="77777777" w:rsidTr="00CB5A5E">
        <w:tc>
          <w:tcPr>
            <w:tcW w:w="5102" w:type="dxa"/>
          </w:tcPr>
          <w:p w14:paraId="0D707400" w14:textId="0AF7FB38" w:rsidR="00A12BE7" w:rsidRPr="0077073D" w:rsidRDefault="00A12BE7" w:rsidP="00A12BE7">
            <w:pPr>
              <w:jc w:val="both"/>
              <w:rPr>
                <w:rFonts w:ascii="Arial" w:hAnsi="Arial" w:cs="Arial"/>
                <w:sz w:val="20"/>
                <w:szCs w:val="20"/>
              </w:rPr>
            </w:pPr>
            <w:r w:rsidRPr="0077073D">
              <w:rPr>
                <w:rFonts w:ascii="Arial" w:hAnsi="Arial" w:cs="Arial"/>
                <w:sz w:val="20"/>
                <w:szCs w:val="20"/>
              </w:rPr>
              <w:t>Adjusted operating profit</w:t>
            </w:r>
            <w:r w:rsidRPr="0077073D">
              <w:rPr>
                <w:rFonts w:ascii="Arial" w:eastAsia="Times New Roman" w:hAnsi="Arial" w:cs="Arial"/>
                <w:color w:val="000000"/>
                <w:sz w:val="20"/>
                <w:szCs w:val="20"/>
                <w:vertAlign w:val="superscript"/>
              </w:rPr>
              <w:t>2</w:t>
            </w:r>
          </w:p>
        </w:tc>
        <w:tc>
          <w:tcPr>
            <w:tcW w:w="1536" w:type="dxa"/>
          </w:tcPr>
          <w:p w14:paraId="2E1EC9EA" w14:textId="64E5BB92" w:rsidR="00A12BE7" w:rsidRPr="0077073D" w:rsidRDefault="00022101" w:rsidP="00A12BE7">
            <w:pPr>
              <w:jc w:val="both"/>
              <w:rPr>
                <w:rFonts w:ascii="Arial" w:hAnsi="Arial" w:cs="Arial"/>
                <w:sz w:val="20"/>
                <w:szCs w:val="20"/>
              </w:rPr>
            </w:pPr>
            <w:r>
              <w:rPr>
                <w:rFonts w:ascii="Arial" w:hAnsi="Arial" w:cs="Arial"/>
                <w:sz w:val="20"/>
                <w:szCs w:val="20"/>
              </w:rPr>
              <w:t>£</w:t>
            </w:r>
            <w:r w:rsidR="000B5743">
              <w:rPr>
                <w:rFonts w:ascii="Arial" w:hAnsi="Arial" w:cs="Arial"/>
                <w:sz w:val="20"/>
                <w:szCs w:val="20"/>
              </w:rPr>
              <w:t>23.</w:t>
            </w:r>
            <w:r w:rsidR="009A70F6">
              <w:rPr>
                <w:rFonts w:ascii="Arial" w:hAnsi="Arial" w:cs="Arial"/>
                <w:sz w:val="20"/>
                <w:szCs w:val="20"/>
              </w:rPr>
              <w:t>2</w:t>
            </w:r>
            <w:r>
              <w:rPr>
                <w:rFonts w:ascii="Arial" w:hAnsi="Arial" w:cs="Arial"/>
                <w:sz w:val="20"/>
                <w:szCs w:val="20"/>
              </w:rPr>
              <w:t>m</w:t>
            </w:r>
          </w:p>
        </w:tc>
        <w:tc>
          <w:tcPr>
            <w:tcW w:w="1536" w:type="dxa"/>
          </w:tcPr>
          <w:p w14:paraId="6E34EC66" w14:textId="4799C6D4" w:rsidR="00A12BE7" w:rsidRPr="0077073D" w:rsidRDefault="00022101" w:rsidP="00A12BE7">
            <w:pPr>
              <w:jc w:val="both"/>
              <w:rPr>
                <w:rFonts w:ascii="Arial" w:hAnsi="Arial" w:cs="Arial"/>
                <w:sz w:val="20"/>
                <w:szCs w:val="20"/>
              </w:rPr>
            </w:pPr>
            <w:r>
              <w:rPr>
                <w:rFonts w:ascii="Arial" w:hAnsi="Arial" w:cs="Arial"/>
                <w:sz w:val="20"/>
                <w:szCs w:val="20"/>
              </w:rPr>
              <w:t>£</w:t>
            </w:r>
            <w:r w:rsidR="000B5743">
              <w:rPr>
                <w:rFonts w:ascii="Arial" w:hAnsi="Arial" w:cs="Arial"/>
                <w:sz w:val="20"/>
                <w:szCs w:val="20"/>
              </w:rPr>
              <w:t>23.4</w:t>
            </w:r>
            <w:r>
              <w:rPr>
                <w:rFonts w:ascii="Arial" w:hAnsi="Arial" w:cs="Arial"/>
                <w:sz w:val="20"/>
                <w:szCs w:val="20"/>
              </w:rPr>
              <w:t>m</w:t>
            </w:r>
          </w:p>
        </w:tc>
        <w:tc>
          <w:tcPr>
            <w:tcW w:w="1536" w:type="dxa"/>
          </w:tcPr>
          <w:p w14:paraId="7F5DEF73" w14:textId="5C59BC89" w:rsidR="00A12BE7" w:rsidRPr="0077073D" w:rsidRDefault="009A70F6" w:rsidP="00A12BE7">
            <w:pPr>
              <w:jc w:val="both"/>
              <w:rPr>
                <w:rFonts w:ascii="Arial" w:hAnsi="Arial" w:cs="Arial"/>
                <w:sz w:val="20"/>
                <w:szCs w:val="20"/>
              </w:rPr>
            </w:pPr>
            <w:r>
              <w:rPr>
                <w:rFonts w:ascii="Arial" w:hAnsi="Arial" w:cs="Arial"/>
                <w:sz w:val="20"/>
                <w:szCs w:val="20"/>
              </w:rPr>
              <w:t>(</w:t>
            </w:r>
            <w:proofErr w:type="gramStart"/>
            <w:r w:rsidR="000B5743">
              <w:rPr>
                <w:rFonts w:ascii="Arial" w:hAnsi="Arial" w:cs="Arial"/>
                <w:sz w:val="20"/>
                <w:szCs w:val="20"/>
              </w:rPr>
              <w:t>1</w:t>
            </w:r>
            <w:r>
              <w:rPr>
                <w:rFonts w:ascii="Arial" w:hAnsi="Arial" w:cs="Arial"/>
                <w:sz w:val="20"/>
                <w:szCs w:val="20"/>
              </w:rPr>
              <w:t>)</w:t>
            </w:r>
            <w:r w:rsidR="000B5743">
              <w:rPr>
                <w:rFonts w:ascii="Arial" w:hAnsi="Arial" w:cs="Arial"/>
                <w:sz w:val="20"/>
                <w:szCs w:val="20"/>
              </w:rPr>
              <w:t>%</w:t>
            </w:r>
            <w:proofErr w:type="gramEnd"/>
          </w:p>
        </w:tc>
      </w:tr>
      <w:tr w:rsidR="00A12BE7" w:rsidRPr="0077073D" w14:paraId="719E75FB" w14:textId="77777777" w:rsidTr="00CB5A5E">
        <w:tc>
          <w:tcPr>
            <w:tcW w:w="5102" w:type="dxa"/>
            <w:tcBorders>
              <w:bottom w:val="single" w:sz="4" w:space="0" w:color="auto"/>
            </w:tcBorders>
          </w:tcPr>
          <w:p w14:paraId="1CBC0997" w14:textId="6792DF54" w:rsidR="00A12BE7" w:rsidRPr="0077073D" w:rsidRDefault="00A12BE7" w:rsidP="00A12BE7">
            <w:pPr>
              <w:jc w:val="both"/>
              <w:rPr>
                <w:rFonts w:ascii="Arial" w:hAnsi="Arial" w:cs="Arial"/>
                <w:i/>
                <w:iCs/>
                <w:sz w:val="20"/>
                <w:szCs w:val="20"/>
              </w:rPr>
            </w:pPr>
            <w:r w:rsidRPr="0077073D">
              <w:rPr>
                <w:rFonts w:ascii="Arial" w:hAnsi="Arial" w:cs="Arial"/>
                <w:i/>
                <w:iCs/>
                <w:sz w:val="20"/>
                <w:szCs w:val="20"/>
              </w:rPr>
              <w:t>Adjusted EBITDA margin</w:t>
            </w:r>
            <w:r w:rsidRPr="0077073D">
              <w:rPr>
                <w:rStyle w:val="ads"/>
                <w:rFonts w:ascii="Arial" w:eastAsia="Times New Roman" w:hAnsi="Arial" w:cs="Arial"/>
                <w:color w:val="000000"/>
                <w:sz w:val="20"/>
                <w:szCs w:val="20"/>
                <w:vertAlign w:val="superscript"/>
              </w:rPr>
              <w:t>1,</w:t>
            </w:r>
            <w:r w:rsidRPr="0077073D">
              <w:rPr>
                <w:rFonts w:ascii="Arial" w:eastAsia="Times New Roman" w:hAnsi="Arial" w:cs="Arial"/>
                <w:color w:val="000000"/>
                <w:sz w:val="20"/>
                <w:szCs w:val="20"/>
                <w:vertAlign w:val="superscript"/>
              </w:rPr>
              <w:t>2</w:t>
            </w:r>
          </w:p>
        </w:tc>
        <w:tc>
          <w:tcPr>
            <w:tcW w:w="1536" w:type="dxa"/>
            <w:tcBorders>
              <w:bottom w:val="single" w:sz="4" w:space="0" w:color="auto"/>
            </w:tcBorders>
          </w:tcPr>
          <w:p w14:paraId="74C89AC0" w14:textId="79A2AE34" w:rsidR="00A12BE7" w:rsidRPr="0077073D" w:rsidRDefault="000B5743" w:rsidP="00A12BE7">
            <w:pPr>
              <w:jc w:val="both"/>
              <w:rPr>
                <w:rFonts w:ascii="Arial" w:hAnsi="Arial" w:cs="Arial"/>
                <w:i/>
                <w:iCs/>
                <w:sz w:val="20"/>
                <w:szCs w:val="20"/>
              </w:rPr>
            </w:pPr>
            <w:r>
              <w:rPr>
                <w:rFonts w:ascii="Arial" w:hAnsi="Arial" w:cs="Arial"/>
                <w:i/>
                <w:iCs/>
                <w:sz w:val="20"/>
                <w:szCs w:val="20"/>
              </w:rPr>
              <w:t>12.</w:t>
            </w:r>
            <w:r w:rsidR="009A70F6">
              <w:rPr>
                <w:rFonts w:ascii="Arial" w:hAnsi="Arial" w:cs="Arial"/>
                <w:i/>
                <w:iCs/>
                <w:sz w:val="20"/>
                <w:szCs w:val="20"/>
              </w:rPr>
              <w:t>0</w:t>
            </w:r>
            <w:r>
              <w:rPr>
                <w:rFonts w:ascii="Arial" w:hAnsi="Arial" w:cs="Arial"/>
                <w:i/>
                <w:iCs/>
                <w:sz w:val="20"/>
                <w:szCs w:val="20"/>
              </w:rPr>
              <w:t>%</w:t>
            </w:r>
          </w:p>
        </w:tc>
        <w:tc>
          <w:tcPr>
            <w:tcW w:w="1536" w:type="dxa"/>
            <w:tcBorders>
              <w:bottom w:val="single" w:sz="4" w:space="0" w:color="auto"/>
            </w:tcBorders>
          </w:tcPr>
          <w:p w14:paraId="4EE5C118" w14:textId="16D6A54A" w:rsidR="00A12BE7" w:rsidRPr="0077073D" w:rsidRDefault="000B5743" w:rsidP="00A12BE7">
            <w:pPr>
              <w:jc w:val="both"/>
              <w:rPr>
                <w:rFonts w:ascii="Arial" w:hAnsi="Arial" w:cs="Arial"/>
                <w:i/>
                <w:iCs/>
                <w:sz w:val="20"/>
                <w:szCs w:val="20"/>
              </w:rPr>
            </w:pPr>
            <w:r>
              <w:rPr>
                <w:rFonts w:ascii="Arial" w:hAnsi="Arial" w:cs="Arial"/>
                <w:i/>
                <w:iCs/>
                <w:sz w:val="20"/>
                <w:szCs w:val="20"/>
              </w:rPr>
              <w:t>12.9%</w:t>
            </w:r>
          </w:p>
        </w:tc>
        <w:tc>
          <w:tcPr>
            <w:tcW w:w="1536" w:type="dxa"/>
            <w:tcBorders>
              <w:bottom w:val="single" w:sz="4" w:space="0" w:color="auto"/>
            </w:tcBorders>
          </w:tcPr>
          <w:p w14:paraId="5F2D8D9C" w14:textId="71020A4E" w:rsidR="00A12BE7" w:rsidRPr="0077073D" w:rsidRDefault="000B5743" w:rsidP="00A12BE7">
            <w:pPr>
              <w:jc w:val="both"/>
              <w:rPr>
                <w:rFonts w:ascii="Arial" w:hAnsi="Arial" w:cs="Arial"/>
                <w:i/>
                <w:iCs/>
                <w:sz w:val="20"/>
                <w:szCs w:val="20"/>
              </w:rPr>
            </w:pPr>
            <w:r>
              <w:rPr>
                <w:rFonts w:ascii="Arial" w:hAnsi="Arial" w:cs="Arial"/>
                <w:i/>
                <w:iCs/>
                <w:sz w:val="20"/>
                <w:szCs w:val="20"/>
              </w:rPr>
              <w:t>(</w:t>
            </w:r>
            <w:proofErr w:type="gramStart"/>
            <w:r w:rsidR="009A70F6">
              <w:rPr>
                <w:rFonts w:ascii="Arial" w:hAnsi="Arial" w:cs="Arial"/>
                <w:i/>
                <w:iCs/>
                <w:sz w:val="20"/>
                <w:szCs w:val="20"/>
              </w:rPr>
              <w:t>9</w:t>
            </w:r>
            <w:r>
              <w:rPr>
                <w:rFonts w:ascii="Arial" w:hAnsi="Arial" w:cs="Arial"/>
                <w:i/>
                <w:iCs/>
                <w:sz w:val="20"/>
                <w:szCs w:val="20"/>
              </w:rPr>
              <w:t>0)bps</w:t>
            </w:r>
            <w:proofErr w:type="gramEnd"/>
          </w:p>
        </w:tc>
      </w:tr>
    </w:tbl>
    <w:p w14:paraId="672115FE" w14:textId="77777777" w:rsidR="004C2F00" w:rsidRPr="00811359" w:rsidRDefault="004C2F00" w:rsidP="004C2F00">
      <w:pPr>
        <w:spacing w:after="0" w:line="253" w:lineRule="atLeast"/>
        <w:rPr>
          <w:rFonts w:ascii="Arial" w:eastAsia="Times New Roman" w:hAnsi="Arial" w:cs="Arial"/>
          <w:i/>
          <w:iCs/>
          <w:color w:val="000000"/>
          <w:sz w:val="20"/>
          <w:szCs w:val="20"/>
          <w:lang w:eastAsia="en-GB"/>
        </w:rPr>
      </w:pPr>
      <w:r w:rsidRPr="00811359">
        <w:rPr>
          <w:rFonts w:ascii="Arial" w:eastAsia="Times New Roman" w:hAnsi="Arial" w:cs="Arial"/>
          <w:i/>
          <w:iCs/>
          <w:color w:val="000000"/>
          <w:sz w:val="20"/>
          <w:szCs w:val="20"/>
          <w:vertAlign w:val="superscript"/>
          <w:lang w:eastAsia="en-GB"/>
        </w:rPr>
        <w:t>1</w:t>
      </w:r>
      <w:r w:rsidRPr="00811359">
        <w:rPr>
          <w:rFonts w:ascii="Arial" w:eastAsia="Times New Roman" w:hAnsi="Arial" w:cs="Arial"/>
          <w:i/>
          <w:iCs/>
          <w:color w:val="000000"/>
          <w:sz w:val="20"/>
          <w:szCs w:val="20"/>
          <w:lang w:eastAsia="en-GB"/>
        </w:rPr>
        <w:t xml:space="preserve"> Earnings before interest, taxes, depreciation and amortisation (“EBITDA”)</w:t>
      </w:r>
    </w:p>
    <w:p w14:paraId="7B559C31" w14:textId="202142DD" w:rsidR="004C2F00" w:rsidRDefault="004C2F00" w:rsidP="004C2F00">
      <w:pPr>
        <w:spacing w:after="0" w:line="253" w:lineRule="atLeast"/>
        <w:rPr>
          <w:rFonts w:ascii="Arial" w:eastAsia="Times New Roman" w:hAnsi="Arial" w:cs="Arial"/>
          <w:i/>
          <w:iCs/>
          <w:color w:val="000000"/>
          <w:sz w:val="20"/>
          <w:szCs w:val="20"/>
          <w:lang w:eastAsia="en-GB"/>
        </w:rPr>
      </w:pPr>
      <w:r w:rsidRPr="0077073D">
        <w:rPr>
          <w:rFonts w:ascii="Arial" w:eastAsia="Times New Roman" w:hAnsi="Arial" w:cs="Arial"/>
          <w:color w:val="000000"/>
          <w:sz w:val="20"/>
          <w:szCs w:val="20"/>
          <w:vertAlign w:val="superscript"/>
          <w:lang w:eastAsia="en-GB"/>
        </w:rPr>
        <w:t>2</w:t>
      </w:r>
      <w:r w:rsidRPr="0077073D">
        <w:rPr>
          <w:rFonts w:ascii="Arial" w:eastAsia="Times New Roman" w:hAnsi="Arial" w:cs="Arial"/>
          <w:i/>
          <w:iCs/>
          <w:color w:val="000000"/>
          <w:sz w:val="20"/>
          <w:szCs w:val="20"/>
          <w:vertAlign w:val="superscript"/>
          <w:lang w:eastAsia="en-GB"/>
        </w:rPr>
        <w:t xml:space="preserve"> </w:t>
      </w:r>
      <w:r w:rsidRPr="00811359">
        <w:rPr>
          <w:rFonts w:ascii="Arial" w:eastAsia="Times New Roman" w:hAnsi="Arial" w:cs="Arial"/>
          <w:i/>
          <w:iCs/>
          <w:color w:val="000000"/>
          <w:sz w:val="20"/>
          <w:szCs w:val="20"/>
          <w:lang w:eastAsia="en-GB"/>
        </w:rPr>
        <w:t xml:space="preserve">Explanation of non-IFRS measures are contained within the </w:t>
      </w:r>
      <w:r w:rsidR="00E42501">
        <w:rPr>
          <w:rFonts w:ascii="Arial" w:eastAsia="Times New Roman" w:hAnsi="Arial" w:cs="Arial"/>
          <w:i/>
          <w:iCs/>
          <w:color w:val="000000"/>
          <w:sz w:val="20"/>
          <w:szCs w:val="20"/>
          <w:lang w:eastAsia="en-GB"/>
        </w:rPr>
        <w:t>Financial Review</w:t>
      </w:r>
      <w:r w:rsidR="00684F69">
        <w:rPr>
          <w:rFonts w:ascii="Arial" w:eastAsia="Times New Roman" w:hAnsi="Arial" w:cs="Arial"/>
          <w:i/>
          <w:iCs/>
          <w:color w:val="000000"/>
          <w:sz w:val="20"/>
          <w:szCs w:val="20"/>
          <w:lang w:eastAsia="en-GB"/>
        </w:rPr>
        <w:t xml:space="preserve"> and note 2</w:t>
      </w:r>
    </w:p>
    <w:p w14:paraId="1E560BB9" w14:textId="77777777" w:rsidR="004C2F00" w:rsidRPr="0077073D" w:rsidRDefault="004C2F00" w:rsidP="004C2F00">
      <w:pPr>
        <w:pStyle w:val="Default"/>
        <w:jc w:val="both"/>
        <w:rPr>
          <w:rStyle w:val="ads"/>
          <w:b/>
          <w:bCs/>
          <w:sz w:val="20"/>
          <w:szCs w:val="20"/>
        </w:rPr>
      </w:pPr>
    </w:p>
    <w:p w14:paraId="660C7EDD" w14:textId="1044CEEC" w:rsidR="004C2F00" w:rsidRDefault="00917A3F" w:rsidP="004C2F00">
      <w:pPr>
        <w:pStyle w:val="Default"/>
        <w:jc w:val="both"/>
        <w:rPr>
          <w:rStyle w:val="ads"/>
          <w:b/>
          <w:bCs/>
          <w:sz w:val="20"/>
          <w:szCs w:val="20"/>
        </w:rPr>
      </w:pPr>
      <w:r>
        <w:rPr>
          <w:rStyle w:val="ads"/>
          <w:b/>
          <w:bCs/>
          <w:sz w:val="20"/>
          <w:szCs w:val="20"/>
        </w:rPr>
        <w:t>Performance</w:t>
      </w:r>
      <w:r w:rsidRPr="00811359">
        <w:rPr>
          <w:rStyle w:val="ads"/>
          <w:b/>
          <w:bCs/>
          <w:sz w:val="20"/>
          <w:szCs w:val="20"/>
        </w:rPr>
        <w:t xml:space="preserve"> </w:t>
      </w:r>
      <w:r w:rsidR="004C2F00" w:rsidRPr="00811359">
        <w:rPr>
          <w:rStyle w:val="ads"/>
          <w:b/>
          <w:bCs/>
          <w:sz w:val="20"/>
          <w:szCs w:val="20"/>
        </w:rPr>
        <w:t>Review</w:t>
      </w:r>
    </w:p>
    <w:p w14:paraId="59961D8A" w14:textId="77777777" w:rsidR="009C24BD" w:rsidRDefault="009C24BD" w:rsidP="004C2F00">
      <w:pPr>
        <w:pStyle w:val="Default"/>
        <w:jc w:val="both"/>
        <w:rPr>
          <w:rStyle w:val="ads"/>
          <w:b/>
          <w:bCs/>
          <w:sz w:val="20"/>
          <w:szCs w:val="20"/>
        </w:rPr>
      </w:pPr>
    </w:p>
    <w:p w14:paraId="2F06A7BF" w14:textId="66407A7F" w:rsidR="00C3699F" w:rsidRDefault="009C24BD" w:rsidP="004C2F00">
      <w:pPr>
        <w:pStyle w:val="Default"/>
        <w:jc w:val="both"/>
        <w:rPr>
          <w:rStyle w:val="ads"/>
          <w:sz w:val="20"/>
          <w:szCs w:val="20"/>
        </w:rPr>
      </w:pPr>
      <w:r>
        <w:rPr>
          <w:rStyle w:val="ads"/>
          <w:sz w:val="20"/>
          <w:szCs w:val="20"/>
        </w:rPr>
        <w:t xml:space="preserve">Revenues increased </w:t>
      </w:r>
      <w:r w:rsidR="000B5743">
        <w:rPr>
          <w:rStyle w:val="ads"/>
          <w:sz w:val="20"/>
          <w:szCs w:val="20"/>
        </w:rPr>
        <w:t>10</w:t>
      </w:r>
      <w:r>
        <w:rPr>
          <w:rStyle w:val="ads"/>
          <w:sz w:val="20"/>
          <w:szCs w:val="20"/>
        </w:rPr>
        <w:t>% to £</w:t>
      </w:r>
      <w:r w:rsidR="000B5743">
        <w:rPr>
          <w:rStyle w:val="ads"/>
          <w:sz w:val="20"/>
          <w:szCs w:val="20"/>
        </w:rPr>
        <w:t>292.</w:t>
      </w:r>
      <w:r w:rsidR="009A70F6">
        <w:rPr>
          <w:rStyle w:val="ads"/>
          <w:sz w:val="20"/>
          <w:szCs w:val="20"/>
        </w:rPr>
        <w:t>3</w:t>
      </w:r>
      <w:r>
        <w:rPr>
          <w:rStyle w:val="ads"/>
          <w:sz w:val="20"/>
          <w:szCs w:val="20"/>
        </w:rPr>
        <w:t xml:space="preserve"> million (FY23: £</w:t>
      </w:r>
      <w:r w:rsidR="000B5743">
        <w:rPr>
          <w:rStyle w:val="ads"/>
          <w:sz w:val="20"/>
          <w:szCs w:val="20"/>
        </w:rPr>
        <w:t>266.3</w:t>
      </w:r>
      <w:r>
        <w:rPr>
          <w:rStyle w:val="ads"/>
          <w:sz w:val="20"/>
          <w:szCs w:val="20"/>
        </w:rPr>
        <w:t xml:space="preserve"> million). We delivered organic growth in-line with the market of 4% in FY24 </w:t>
      </w:r>
      <w:r w:rsidR="0054615E">
        <w:rPr>
          <w:rStyle w:val="ads"/>
          <w:sz w:val="20"/>
          <w:szCs w:val="20"/>
        </w:rPr>
        <w:t xml:space="preserve">against a </w:t>
      </w:r>
      <w:r>
        <w:rPr>
          <w:rStyle w:val="ads"/>
          <w:sz w:val="20"/>
          <w:szCs w:val="20"/>
        </w:rPr>
        <w:t xml:space="preserve">very strong </w:t>
      </w:r>
      <w:r w:rsidR="0054615E">
        <w:rPr>
          <w:rStyle w:val="ads"/>
          <w:sz w:val="20"/>
          <w:szCs w:val="20"/>
        </w:rPr>
        <w:t xml:space="preserve">prior-year period </w:t>
      </w:r>
      <w:r>
        <w:rPr>
          <w:rStyle w:val="ads"/>
          <w:sz w:val="20"/>
          <w:szCs w:val="20"/>
        </w:rPr>
        <w:t>in FY23 whe</w:t>
      </w:r>
      <w:r w:rsidR="00067F2F">
        <w:rPr>
          <w:rStyle w:val="ads"/>
          <w:sz w:val="20"/>
          <w:szCs w:val="20"/>
        </w:rPr>
        <w:t>n</w:t>
      </w:r>
      <w:r w:rsidR="0054615E">
        <w:rPr>
          <w:rStyle w:val="ads"/>
          <w:sz w:val="20"/>
          <w:szCs w:val="20"/>
        </w:rPr>
        <w:t xml:space="preserve"> </w:t>
      </w:r>
      <w:r>
        <w:rPr>
          <w:rStyle w:val="ads"/>
          <w:sz w:val="20"/>
          <w:szCs w:val="20"/>
        </w:rPr>
        <w:t xml:space="preserve">revenues grew 11% organically. Our performance also benefited from four acquisitions made in year. </w:t>
      </w:r>
      <w:r w:rsidR="008F62CB">
        <w:rPr>
          <w:rStyle w:val="ads"/>
          <w:sz w:val="20"/>
          <w:szCs w:val="20"/>
        </w:rPr>
        <w:t xml:space="preserve">Adjusted EBITDA was up </w:t>
      </w:r>
      <w:r w:rsidR="009A70F6">
        <w:rPr>
          <w:rStyle w:val="ads"/>
          <w:sz w:val="20"/>
          <w:szCs w:val="20"/>
        </w:rPr>
        <w:t>3</w:t>
      </w:r>
      <w:r w:rsidR="008F62CB">
        <w:rPr>
          <w:rStyle w:val="ads"/>
          <w:sz w:val="20"/>
          <w:szCs w:val="20"/>
        </w:rPr>
        <w:t xml:space="preserve">% </w:t>
      </w:r>
      <w:proofErr w:type="gramStart"/>
      <w:r w:rsidR="008F62CB">
        <w:rPr>
          <w:rStyle w:val="ads"/>
          <w:sz w:val="20"/>
          <w:szCs w:val="20"/>
        </w:rPr>
        <w:t>as a result of</w:t>
      </w:r>
      <w:proofErr w:type="gramEnd"/>
      <w:r w:rsidR="008F62CB">
        <w:rPr>
          <w:rStyle w:val="ads"/>
          <w:sz w:val="20"/>
          <w:szCs w:val="20"/>
        </w:rPr>
        <w:t xml:space="preserve"> organic growth and </w:t>
      </w:r>
      <w:r w:rsidR="0054615E">
        <w:rPr>
          <w:rStyle w:val="ads"/>
          <w:sz w:val="20"/>
          <w:szCs w:val="20"/>
        </w:rPr>
        <w:t xml:space="preserve">the contribution </w:t>
      </w:r>
      <w:r w:rsidR="008F62CB">
        <w:rPr>
          <w:rStyle w:val="ads"/>
          <w:sz w:val="20"/>
          <w:szCs w:val="20"/>
        </w:rPr>
        <w:t xml:space="preserve">of acquisitions. </w:t>
      </w:r>
      <w:r w:rsidR="00DC09F6" w:rsidRPr="00DC09F6">
        <w:rPr>
          <w:rStyle w:val="ads"/>
          <w:sz w:val="20"/>
          <w:szCs w:val="20"/>
        </w:rPr>
        <w:t>Following a review of the recoverability of certain current assets in our Water and Air business the Group took the decision to make a one</w:t>
      </w:r>
      <w:r w:rsidR="00297C0C">
        <w:rPr>
          <w:rStyle w:val="ads"/>
          <w:sz w:val="20"/>
          <w:szCs w:val="20"/>
        </w:rPr>
        <w:t xml:space="preserve">-off </w:t>
      </w:r>
      <w:r w:rsidR="00DC09F6" w:rsidRPr="00DC09F6">
        <w:rPr>
          <w:rStyle w:val="ads"/>
          <w:sz w:val="20"/>
          <w:szCs w:val="20"/>
        </w:rPr>
        <w:t>adjustment to bring them in line with their expected value. The total one-off adjustment resulted in a £</w:t>
      </w:r>
      <w:r w:rsidR="00C6193D">
        <w:rPr>
          <w:rStyle w:val="ads"/>
          <w:sz w:val="20"/>
          <w:szCs w:val="20"/>
        </w:rPr>
        <w:t>1.</w:t>
      </w:r>
      <w:r w:rsidR="00334FBD">
        <w:rPr>
          <w:rStyle w:val="ads"/>
          <w:sz w:val="20"/>
          <w:szCs w:val="20"/>
        </w:rPr>
        <w:t>5</w:t>
      </w:r>
      <w:r w:rsidR="00DC09F6">
        <w:rPr>
          <w:rStyle w:val="ads"/>
          <w:sz w:val="20"/>
          <w:szCs w:val="20"/>
        </w:rPr>
        <w:t xml:space="preserve"> </w:t>
      </w:r>
      <w:r w:rsidR="00DC09F6" w:rsidRPr="00DC09F6">
        <w:rPr>
          <w:rStyle w:val="ads"/>
          <w:sz w:val="20"/>
          <w:szCs w:val="20"/>
        </w:rPr>
        <w:t>m</w:t>
      </w:r>
      <w:r w:rsidR="00DC09F6">
        <w:rPr>
          <w:rStyle w:val="ads"/>
          <w:sz w:val="20"/>
          <w:szCs w:val="20"/>
        </w:rPr>
        <w:t>illion</w:t>
      </w:r>
      <w:r w:rsidR="00DC09F6" w:rsidRPr="00DC09F6">
        <w:rPr>
          <w:rStyle w:val="ads"/>
          <w:sz w:val="20"/>
          <w:szCs w:val="20"/>
        </w:rPr>
        <w:t xml:space="preserve"> reduction in </w:t>
      </w:r>
      <w:r w:rsidR="007C7DEA">
        <w:rPr>
          <w:rStyle w:val="ads"/>
          <w:sz w:val="20"/>
          <w:szCs w:val="20"/>
        </w:rPr>
        <w:t>adjusted EBITDA</w:t>
      </w:r>
      <w:r w:rsidR="00DC09F6" w:rsidRPr="00DC09F6">
        <w:rPr>
          <w:rStyle w:val="ads"/>
          <w:sz w:val="20"/>
          <w:szCs w:val="20"/>
        </w:rPr>
        <w:t>.</w:t>
      </w:r>
    </w:p>
    <w:p w14:paraId="4E5B03A8" w14:textId="77777777" w:rsidR="00C3699F" w:rsidRDefault="00C3699F" w:rsidP="004C2F00">
      <w:pPr>
        <w:pStyle w:val="Default"/>
        <w:jc w:val="both"/>
        <w:rPr>
          <w:rStyle w:val="ads"/>
          <w:sz w:val="20"/>
          <w:szCs w:val="20"/>
        </w:rPr>
      </w:pPr>
    </w:p>
    <w:p w14:paraId="25DD2073" w14:textId="59AB553C" w:rsidR="00420475" w:rsidRDefault="00D713F6" w:rsidP="00291166">
      <w:pPr>
        <w:pStyle w:val="Default"/>
        <w:jc w:val="both"/>
        <w:rPr>
          <w:rStyle w:val="ads"/>
          <w:sz w:val="20"/>
          <w:szCs w:val="20"/>
        </w:rPr>
      </w:pPr>
      <w:r w:rsidRPr="00A550CC">
        <w:rPr>
          <w:rStyle w:val="ads"/>
          <w:b/>
          <w:bCs/>
          <w:sz w:val="20"/>
          <w:szCs w:val="20"/>
        </w:rPr>
        <w:t>Fire Safety &amp; Security</w:t>
      </w:r>
      <w:r>
        <w:rPr>
          <w:rStyle w:val="ads"/>
          <w:sz w:val="20"/>
          <w:szCs w:val="20"/>
        </w:rPr>
        <w:t xml:space="preserve">, which </w:t>
      </w:r>
      <w:r w:rsidR="0054615E">
        <w:rPr>
          <w:rStyle w:val="ads"/>
          <w:sz w:val="20"/>
          <w:szCs w:val="20"/>
        </w:rPr>
        <w:t xml:space="preserve">represent nearly </w:t>
      </w:r>
      <w:r>
        <w:rPr>
          <w:rStyle w:val="ads"/>
          <w:sz w:val="20"/>
          <w:szCs w:val="20"/>
        </w:rPr>
        <w:t>half of the divisional revenues, delivered mid-single digit organic growth</w:t>
      </w:r>
      <w:r w:rsidR="00737F0F">
        <w:rPr>
          <w:rStyle w:val="ads"/>
          <w:sz w:val="20"/>
          <w:szCs w:val="20"/>
        </w:rPr>
        <w:t xml:space="preserve">. This was driven by </w:t>
      </w:r>
      <w:r w:rsidR="00291166">
        <w:rPr>
          <w:rStyle w:val="ads"/>
          <w:sz w:val="20"/>
          <w:szCs w:val="20"/>
        </w:rPr>
        <w:t xml:space="preserve">good organic growth in </w:t>
      </w:r>
      <w:r>
        <w:rPr>
          <w:rStyle w:val="ads"/>
          <w:sz w:val="20"/>
          <w:szCs w:val="20"/>
        </w:rPr>
        <w:t xml:space="preserve">our mechanical business (which includes the installation, maintenance and inspection </w:t>
      </w:r>
      <w:r w:rsidR="00291166">
        <w:rPr>
          <w:rStyle w:val="ads"/>
          <w:sz w:val="20"/>
          <w:szCs w:val="20"/>
        </w:rPr>
        <w:t xml:space="preserve">of </w:t>
      </w:r>
      <w:r>
        <w:rPr>
          <w:rStyle w:val="ads"/>
          <w:sz w:val="20"/>
          <w:szCs w:val="20"/>
        </w:rPr>
        <w:t xml:space="preserve">smoke ventilation, sprinkler and gas suppression systems) </w:t>
      </w:r>
      <w:r w:rsidR="00AF2F8C">
        <w:rPr>
          <w:rStyle w:val="ads"/>
          <w:sz w:val="20"/>
          <w:szCs w:val="20"/>
        </w:rPr>
        <w:t xml:space="preserve">slightly </w:t>
      </w:r>
      <w:r>
        <w:rPr>
          <w:rStyle w:val="ads"/>
          <w:sz w:val="20"/>
          <w:szCs w:val="20"/>
        </w:rPr>
        <w:t xml:space="preserve">offset by slower growth </w:t>
      </w:r>
      <w:r w:rsidR="00737F0F">
        <w:rPr>
          <w:rStyle w:val="ads"/>
          <w:sz w:val="20"/>
          <w:szCs w:val="20"/>
        </w:rPr>
        <w:t xml:space="preserve">within </w:t>
      </w:r>
      <w:r>
        <w:rPr>
          <w:rStyle w:val="ads"/>
          <w:sz w:val="20"/>
          <w:szCs w:val="20"/>
        </w:rPr>
        <w:t>ou</w:t>
      </w:r>
      <w:r w:rsidR="00737F0F">
        <w:rPr>
          <w:rStyle w:val="ads"/>
          <w:sz w:val="20"/>
          <w:szCs w:val="20"/>
        </w:rPr>
        <w:t>r higher margin passive fire</w:t>
      </w:r>
      <w:r w:rsidR="00291166">
        <w:rPr>
          <w:rStyle w:val="FootnoteReference"/>
          <w:sz w:val="20"/>
          <w:szCs w:val="20"/>
        </w:rPr>
        <w:footnoteReference w:id="5"/>
      </w:r>
      <w:r w:rsidR="00737F0F">
        <w:rPr>
          <w:rStyle w:val="ads"/>
          <w:sz w:val="20"/>
          <w:szCs w:val="20"/>
        </w:rPr>
        <w:t xml:space="preserve"> solutions. </w:t>
      </w:r>
      <w:r w:rsidR="00420475">
        <w:rPr>
          <w:rStyle w:val="ads"/>
          <w:sz w:val="20"/>
          <w:szCs w:val="20"/>
        </w:rPr>
        <w:t>Additionally, a now</w:t>
      </w:r>
      <w:r w:rsidR="00297C0C">
        <w:rPr>
          <w:rStyle w:val="ads"/>
          <w:sz w:val="20"/>
          <w:szCs w:val="20"/>
        </w:rPr>
        <w:t>-</w:t>
      </w:r>
      <w:r w:rsidR="00420475">
        <w:rPr>
          <w:rStyle w:val="ads"/>
          <w:sz w:val="20"/>
          <w:szCs w:val="20"/>
        </w:rPr>
        <w:t xml:space="preserve">concluded integration programme </w:t>
      </w:r>
      <w:r w:rsidR="0054615E">
        <w:rPr>
          <w:rStyle w:val="ads"/>
          <w:sz w:val="20"/>
          <w:szCs w:val="20"/>
        </w:rPr>
        <w:t>resulted in</w:t>
      </w:r>
      <w:r w:rsidR="00AF08A7">
        <w:rPr>
          <w:rStyle w:val="ads"/>
          <w:sz w:val="20"/>
          <w:szCs w:val="20"/>
        </w:rPr>
        <w:t xml:space="preserve"> some attrition of field-based fee earners </w:t>
      </w:r>
      <w:r w:rsidR="00AF2F8C">
        <w:rPr>
          <w:rStyle w:val="ads"/>
          <w:sz w:val="20"/>
          <w:szCs w:val="20"/>
        </w:rPr>
        <w:t xml:space="preserve">from </w:t>
      </w:r>
      <w:r w:rsidR="00A91F44">
        <w:rPr>
          <w:rStyle w:val="ads"/>
          <w:sz w:val="20"/>
          <w:szCs w:val="20"/>
        </w:rPr>
        <w:t>a</w:t>
      </w:r>
      <w:r w:rsidR="00AF08A7">
        <w:rPr>
          <w:rStyle w:val="ads"/>
          <w:sz w:val="20"/>
          <w:szCs w:val="20"/>
        </w:rPr>
        <w:t xml:space="preserve"> recently acquired</w:t>
      </w:r>
      <w:r w:rsidR="00420475">
        <w:rPr>
          <w:rStyle w:val="ads"/>
          <w:sz w:val="20"/>
          <w:szCs w:val="20"/>
        </w:rPr>
        <w:t xml:space="preserve"> business. Consequently, this impacted revenue and margins and required </w:t>
      </w:r>
      <w:r w:rsidR="0054615E">
        <w:rPr>
          <w:rStyle w:val="ads"/>
          <w:sz w:val="20"/>
          <w:szCs w:val="20"/>
        </w:rPr>
        <w:t xml:space="preserve">an </w:t>
      </w:r>
      <w:r w:rsidR="00420475">
        <w:rPr>
          <w:rStyle w:val="ads"/>
          <w:sz w:val="20"/>
          <w:szCs w:val="20"/>
        </w:rPr>
        <w:t>increased reliance o</w:t>
      </w:r>
      <w:r w:rsidR="001F7351">
        <w:rPr>
          <w:rStyle w:val="ads"/>
          <w:sz w:val="20"/>
          <w:szCs w:val="20"/>
        </w:rPr>
        <w:t>n</w:t>
      </w:r>
      <w:r w:rsidR="00420475">
        <w:rPr>
          <w:rStyle w:val="ads"/>
          <w:sz w:val="20"/>
          <w:szCs w:val="20"/>
        </w:rPr>
        <w:t xml:space="preserve"> subcontractors to manage </w:t>
      </w:r>
      <w:r w:rsidR="0054615E">
        <w:rPr>
          <w:rStyle w:val="ads"/>
          <w:sz w:val="20"/>
          <w:szCs w:val="20"/>
        </w:rPr>
        <w:t xml:space="preserve">the work being </w:t>
      </w:r>
      <w:r w:rsidR="00420475">
        <w:rPr>
          <w:rStyle w:val="ads"/>
          <w:sz w:val="20"/>
          <w:szCs w:val="20"/>
        </w:rPr>
        <w:t>transferr</w:t>
      </w:r>
      <w:r w:rsidR="0054615E">
        <w:rPr>
          <w:rStyle w:val="ads"/>
          <w:sz w:val="20"/>
          <w:szCs w:val="20"/>
        </w:rPr>
        <w:t>ed</w:t>
      </w:r>
      <w:r w:rsidR="00420475">
        <w:rPr>
          <w:rStyle w:val="ads"/>
          <w:sz w:val="20"/>
          <w:szCs w:val="20"/>
        </w:rPr>
        <w:t xml:space="preserve">. </w:t>
      </w:r>
      <w:r w:rsidR="00067F2F">
        <w:rPr>
          <w:rStyle w:val="ads"/>
          <w:sz w:val="20"/>
          <w:szCs w:val="20"/>
        </w:rPr>
        <w:t>W</w:t>
      </w:r>
      <w:r w:rsidR="00420475">
        <w:rPr>
          <w:rStyle w:val="ads"/>
          <w:sz w:val="20"/>
          <w:szCs w:val="20"/>
        </w:rPr>
        <w:t xml:space="preserve">e have taken steps to address the issue and subcontractor </w:t>
      </w:r>
      <w:r w:rsidR="0054615E">
        <w:rPr>
          <w:rStyle w:val="ads"/>
          <w:sz w:val="20"/>
          <w:szCs w:val="20"/>
        </w:rPr>
        <w:t xml:space="preserve">usage has </w:t>
      </w:r>
      <w:r w:rsidR="00420475">
        <w:rPr>
          <w:rStyle w:val="ads"/>
          <w:sz w:val="20"/>
          <w:szCs w:val="20"/>
        </w:rPr>
        <w:t xml:space="preserve">now returned to </w:t>
      </w:r>
      <w:r w:rsidR="0054615E">
        <w:rPr>
          <w:rStyle w:val="ads"/>
          <w:sz w:val="20"/>
          <w:szCs w:val="20"/>
        </w:rPr>
        <w:t xml:space="preserve">prior </w:t>
      </w:r>
      <w:r w:rsidR="00420475">
        <w:rPr>
          <w:rStyle w:val="ads"/>
          <w:sz w:val="20"/>
          <w:szCs w:val="20"/>
        </w:rPr>
        <w:t xml:space="preserve">levels. </w:t>
      </w:r>
      <w:r w:rsidR="001670E1">
        <w:rPr>
          <w:rStyle w:val="ads"/>
          <w:sz w:val="20"/>
          <w:szCs w:val="20"/>
        </w:rPr>
        <w:t xml:space="preserve">This margin dilution was </w:t>
      </w:r>
      <w:r w:rsidR="000B5743">
        <w:rPr>
          <w:rStyle w:val="ads"/>
          <w:sz w:val="20"/>
          <w:szCs w:val="20"/>
        </w:rPr>
        <w:t>slightly</w:t>
      </w:r>
      <w:r w:rsidR="001670E1">
        <w:rPr>
          <w:rStyle w:val="ads"/>
          <w:sz w:val="20"/>
          <w:szCs w:val="20"/>
        </w:rPr>
        <w:t xml:space="preserve"> offset </w:t>
      </w:r>
      <w:r w:rsidR="0054615E">
        <w:rPr>
          <w:rStyle w:val="ads"/>
          <w:sz w:val="20"/>
          <w:szCs w:val="20"/>
        </w:rPr>
        <w:t xml:space="preserve">by </w:t>
      </w:r>
      <w:r w:rsidR="00AF08A7">
        <w:rPr>
          <w:rStyle w:val="ads"/>
          <w:sz w:val="20"/>
          <w:szCs w:val="20"/>
        </w:rPr>
        <w:t>continu</w:t>
      </w:r>
      <w:r w:rsidR="001670E1">
        <w:rPr>
          <w:rStyle w:val="ads"/>
          <w:sz w:val="20"/>
          <w:szCs w:val="20"/>
        </w:rPr>
        <w:t xml:space="preserve">ing </w:t>
      </w:r>
      <w:r w:rsidR="00AF08A7">
        <w:rPr>
          <w:rStyle w:val="ads"/>
          <w:sz w:val="20"/>
          <w:szCs w:val="20"/>
        </w:rPr>
        <w:t xml:space="preserve">route density </w:t>
      </w:r>
      <w:r w:rsidR="001670E1">
        <w:rPr>
          <w:rStyle w:val="ads"/>
          <w:sz w:val="20"/>
          <w:szCs w:val="20"/>
        </w:rPr>
        <w:t xml:space="preserve">benefits </w:t>
      </w:r>
      <w:r w:rsidR="00AF08A7">
        <w:rPr>
          <w:rStyle w:val="ads"/>
          <w:sz w:val="20"/>
          <w:szCs w:val="20"/>
        </w:rPr>
        <w:t>and IT</w:t>
      </w:r>
      <w:r w:rsidR="0054615E">
        <w:rPr>
          <w:rStyle w:val="ads"/>
          <w:sz w:val="20"/>
          <w:szCs w:val="20"/>
        </w:rPr>
        <w:t xml:space="preserve"> related improvements in </w:t>
      </w:r>
      <w:r w:rsidR="00AF08A7">
        <w:rPr>
          <w:rStyle w:val="ads"/>
          <w:sz w:val="20"/>
          <w:szCs w:val="20"/>
        </w:rPr>
        <w:t>scheduling</w:t>
      </w:r>
      <w:r w:rsidR="000F620F">
        <w:rPr>
          <w:rStyle w:val="ads"/>
          <w:sz w:val="20"/>
          <w:szCs w:val="20"/>
        </w:rPr>
        <w:t xml:space="preserve">, </w:t>
      </w:r>
      <w:r w:rsidR="00AF08A7">
        <w:rPr>
          <w:rStyle w:val="ads"/>
          <w:sz w:val="20"/>
          <w:szCs w:val="20"/>
        </w:rPr>
        <w:t xml:space="preserve">which resulted in </w:t>
      </w:r>
      <w:r w:rsidR="00AF2F8C">
        <w:rPr>
          <w:rStyle w:val="ads"/>
          <w:sz w:val="20"/>
          <w:szCs w:val="20"/>
        </w:rPr>
        <w:t xml:space="preserve">an increase in revenue per day per fee earner </w:t>
      </w:r>
      <w:r w:rsidR="00423779">
        <w:rPr>
          <w:rStyle w:val="ads"/>
          <w:sz w:val="20"/>
          <w:szCs w:val="20"/>
        </w:rPr>
        <w:t>to over £660</w:t>
      </w:r>
      <w:r w:rsidR="00F14C20">
        <w:rPr>
          <w:rStyle w:val="ads"/>
          <w:sz w:val="20"/>
          <w:szCs w:val="20"/>
        </w:rPr>
        <w:t xml:space="preserve"> (FY23: £610).</w:t>
      </w:r>
    </w:p>
    <w:p w14:paraId="4D6A7AC8" w14:textId="77777777" w:rsidR="00A550CC" w:rsidRDefault="00A550CC" w:rsidP="00291166">
      <w:pPr>
        <w:pStyle w:val="Default"/>
        <w:jc w:val="both"/>
        <w:rPr>
          <w:rStyle w:val="ads"/>
          <w:sz w:val="20"/>
          <w:szCs w:val="20"/>
        </w:rPr>
      </w:pPr>
    </w:p>
    <w:p w14:paraId="6B3061AD" w14:textId="00959345" w:rsidR="008F62CB" w:rsidRPr="005F3D42" w:rsidRDefault="00A550CC" w:rsidP="00291166">
      <w:pPr>
        <w:pStyle w:val="Default"/>
        <w:jc w:val="both"/>
        <w:rPr>
          <w:rStyle w:val="ads"/>
          <w:sz w:val="20"/>
          <w:szCs w:val="20"/>
        </w:rPr>
      </w:pPr>
      <w:r w:rsidRPr="005F3D42">
        <w:rPr>
          <w:rStyle w:val="ads"/>
          <w:b/>
          <w:bCs/>
          <w:sz w:val="20"/>
          <w:szCs w:val="20"/>
        </w:rPr>
        <w:t>Water &amp; Air Hygiene</w:t>
      </w:r>
      <w:r w:rsidR="005F3D42">
        <w:rPr>
          <w:rStyle w:val="ads"/>
          <w:b/>
          <w:bCs/>
          <w:sz w:val="20"/>
          <w:szCs w:val="20"/>
        </w:rPr>
        <w:t xml:space="preserve">, </w:t>
      </w:r>
      <w:r w:rsidR="005F3D42">
        <w:rPr>
          <w:rStyle w:val="ads"/>
          <w:sz w:val="20"/>
          <w:szCs w:val="20"/>
        </w:rPr>
        <w:t xml:space="preserve">which makes up just over half of the divisional revenues, delivered low </w:t>
      </w:r>
      <w:r w:rsidR="001F7351">
        <w:rPr>
          <w:rStyle w:val="ads"/>
          <w:sz w:val="20"/>
          <w:szCs w:val="20"/>
        </w:rPr>
        <w:t>single-</w:t>
      </w:r>
      <w:r w:rsidR="005F3D42">
        <w:rPr>
          <w:rStyle w:val="ads"/>
          <w:sz w:val="20"/>
          <w:szCs w:val="20"/>
        </w:rPr>
        <w:t>digit organic growth. O</w:t>
      </w:r>
      <w:r w:rsidR="00216BA1">
        <w:rPr>
          <w:rStyle w:val="ads"/>
          <w:sz w:val="20"/>
          <w:szCs w:val="20"/>
        </w:rPr>
        <w:t>u</w:t>
      </w:r>
      <w:r w:rsidR="005F3D42">
        <w:rPr>
          <w:rStyle w:val="ads"/>
          <w:sz w:val="20"/>
          <w:szCs w:val="20"/>
        </w:rPr>
        <w:t xml:space="preserve">r </w:t>
      </w:r>
      <w:r w:rsidR="00F55074">
        <w:rPr>
          <w:rStyle w:val="ads"/>
          <w:sz w:val="20"/>
          <w:szCs w:val="20"/>
        </w:rPr>
        <w:t xml:space="preserve">main </w:t>
      </w:r>
      <w:r w:rsidR="005F3D42">
        <w:rPr>
          <w:rStyle w:val="ads"/>
          <w:sz w:val="20"/>
          <w:szCs w:val="20"/>
        </w:rPr>
        <w:t>water business</w:t>
      </w:r>
      <w:r w:rsidR="00617182">
        <w:rPr>
          <w:rStyle w:val="ads"/>
          <w:sz w:val="20"/>
          <w:szCs w:val="20"/>
        </w:rPr>
        <w:t xml:space="preserve"> performed well in the year with good levels of new business</w:t>
      </w:r>
      <w:r w:rsidR="001F7351">
        <w:rPr>
          <w:rStyle w:val="ads"/>
          <w:sz w:val="20"/>
          <w:szCs w:val="20"/>
        </w:rPr>
        <w:t>.</w:t>
      </w:r>
      <w:r w:rsidR="00617182">
        <w:rPr>
          <w:rStyle w:val="ads"/>
          <w:sz w:val="20"/>
          <w:szCs w:val="20"/>
        </w:rPr>
        <w:t xml:space="preserve"> </w:t>
      </w:r>
      <w:r w:rsidR="001F7351">
        <w:rPr>
          <w:rStyle w:val="ads"/>
          <w:sz w:val="20"/>
          <w:szCs w:val="20"/>
        </w:rPr>
        <w:t>H</w:t>
      </w:r>
      <w:r w:rsidR="00617182">
        <w:rPr>
          <w:rStyle w:val="ads"/>
          <w:sz w:val="20"/>
          <w:szCs w:val="20"/>
        </w:rPr>
        <w:t>owever, this was offset by</w:t>
      </w:r>
      <w:r w:rsidR="00310D5C">
        <w:rPr>
          <w:rStyle w:val="ads"/>
          <w:sz w:val="20"/>
          <w:szCs w:val="20"/>
        </w:rPr>
        <w:t xml:space="preserve"> our</w:t>
      </w:r>
      <w:r w:rsidR="00617182">
        <w:rPr>
          <w:rStyle w:val="ads"/>
          <w:sz w:val="20"/>
          <w:szCs w:val="20"/>
        </w:rPr>
        <w:t xml:space="preserve"> c</w:t>
      </w:r>
      <w:r w:rsidR="005F3D42">
        <w:rPr>
          <w:rStyle w:val="ads"/>
          <w:sz w:val="20"/>
          <w:szCs w:val="20"/>
        </w:rPr>
        <w:t xml:space="preserve">hemical </w:t>
      </w:r>
      <w:r w:rsidR="00617182">
        <w:rPr>
          <w:rStyle w:val="ads"/>
          <w:sz w:val="20"/>
          <w:szCs w:val="20"/>
        </w:rPr>
        <w:t>business</w:t>
      </w:r>
      <w:r w:rsidR="005F3D42">
        <w:rPr>
          <w:rStyle w:val="ads"/>
          <w:sz w:val="20"/>
          <w:szCs w:val="20"/>
        </w:rPr>
        <w:t xml:space="preserve">, which </w:t>
      </w:r>
      <w:r w:rsidR="001F7351">
        <w:rPr>
          <w:rStyle w:val="ads"/>
          <w:sz w:val="20"/>
          <w:szCs w:val="20"/>
        </w:rPr>
        <w:t xml:space="preserve">accounts for </w:t>
      </w:r>
      <w:r w:rsidR="005F3D42">
        <w:rPr>
          <w:rStyle w:val="ads"/>
          <w:sz w:val="20"/>
          <w:szCs w:val="20"/>
        </w:rPr>
        <w:t>around 10% of revenues</w:t>
      </w:r>
      <w:r w:rsidR="00F55074">
        <w:rPr>
          <w:rStyle w:val="ads"/>
          <w:sz w:val="20"/>
          <w:szCs w:val="20"/>
        </w:rPr>
        <w:t xml:space="preserve"> and </w:t>
      </w:r>
      <w:r w:rsidR="001F7351">
        <w:rPr>
          <w:rStyle w:val="ads"/>
          <w:sz w:val="20"/>
          <w:szCs w:val="20"/>
        </w:rPr>
        <w:t xml:space="preserve">was impacted by a reduction in </w:t>
      </w:r>
      <w:r w:rsidR="005F3D42">
        <w:rPr>
          <w:rStyle w:val="ads"/>
          <w:sz w:val="20"/>
          <w:szCs w:val="20"/>
        </w:rPr>
        <w:t xml:space="preserve">commodity prices especially after a strong </w:t>
      </w:r>
      <w:r w:rsidR="001F7351">
        <w:rPr>
          <w:rStyle w:val="ads"/>
          <w:sz w:val="20"/>
          <w:szCs w:val="20"/>
        </w:rPr>
        <w:t xml:space="preserve">performance </w:t>
      </w:r>
      <w:r w:rsidR="005F3D42">
        <w:rPr>
          <w:rStyle w:val="ads"/>
          <w:sz w:val="20"/>
          <w:szCs w:val="20"/>
        </w:rPr>
        <w:t>in FY23</w:t>
      </w:r>
      <w:r w:rsidR="00617182">
        <w:rPr>
          <w:rStyle w:val="ads"/>
          <w:sz w:val="20"/>
          <w:szCs w:val="20"/>
        </w:rPr>
        <w:t xml:space="preserve">. </w:t>
      </w:r>
      <w:r w:rsidR="00C9346D">
        <w:rPr>
          <w:rStyle w:val="ads"/>
          <w:sz w:val="20"/>
          <w:szCs w:val="20"/>
        </w:rPr>
        <w:t xml:space="preserve">Overall </w:t>
      </w:r>
      <w:r w:rsidR="00420B97">
        <w:rPr>
          <w:rStyle w:val="ads"/>
          <w:sz w:val="20"/>
          <w:szCs w:val="20"/>
        </w:rPr>
        <w:t xml:space="preserve">adjusted </w:t>
      </w:r>
      <w:r w:rsidR="00617182">
        <w:rPr>
          <w:rStyle w:val="ads"/>
          <w:sz w:val="20"/>
          <w:szCs w:val="20"/>
        </w:rPr>
        <w:t xml:space="preserve">EBITDA was flat in the year </w:t>
      </w:r>
      <w:r w:rsidR="009F1DC6">
        <w:rPr>
          <w:rStyle w:val="ads"/>
          <w:sz w:val="20"/>
          <w:szCs w:val="20"/>
        </w:rPr>
        <w:t xml:space="preserve">due to some pricing challenges </w:t>
      </w:r>
      <w:r w:rsidR="000B13F3">
        <w:rPr>
          <w:rStyle w:val="ads"/>
          <w:sz w:val="20"/>
          <w:szCs w:val="20"/>
        </w:rPr>
        <w:t>with</w:t>
      </w:r>
      <w:r w:rsidR="001F7351">
        <w:rPr>
          <w:rStyle w:val="ads"/>
          <w:sz w:val="20"/>
          <w:szCs w:val="20"/>
        </w:rPr>
        <w:t xml:space="preserve">in a </w:t>
      </w:r>
      <w:r w:rsidR="00F55074">
        <w:rPr>
          <w:rStyle w:val="ads"/>
          <w:sz w:val="20"/>
          <w:szCs w:val="20"/>
        </w:rPr>
        <w:t>p</w:t>
      </w:r>
      <w:r w:rsidR="000B13F3">
        <w:rPr>
          <w:rStyle w:val="ads"/>
          <w:sz w:val="20"/>
          <w:szCs w:val="20"/>
        </w:rPr>
        <w:t xml:space="preserve">ortion </w:t>
      </w:r>
      <w:r w:rsidR="00F55074">
        <w:rPr>
          <w:rStyle w:val="ads"/>
          <w:sz w:val="20"/>
          <w:szCs w:val="20"/>
        </w:rPr>
        <w:t xml:space="preserve">of our </w:t>
      </w:r>
      <w:r w:rsidR="004A4F74">
        <w:rPr>
          <w:rStyle w:val="ads"/>
          <w:sz w:val="20"/>
          <w:szCs w:val="20"/>
        </w:rPr>
        <w:t xml:space="preserve">legacy </w:t>
      </w:r>
      <w:r w:rsidR="00310D5C">
        <w:rPr>
          <w:rStyle w:val="ads"/>
          <w:sz w:val="20"/>
          <w:szCs w:val="20"/>
        </w:rPr>
        <w:t>longer-term</w:t>
      </w:r>
      <w:r w:rsidR="00617182">
        <w:rPr>
          <w:rStyle w:val="ads"/>
          <w:sz w:val="20"/>
          <w:szCs w:val="20"/>
        </w:rPr>
        <w:t xml:space="preserve"> </w:t>
      </w:r>
      <w:r w:rsidR="00F55074">
        <w:rPr>
          <w:rStyle w:val="ads"/>
          <w:sz w:val="20"/>
          <w:szCs w:val="20"/>
        </w:rPr>
        <w:t xml:space="preserve">fixed </w:t>
      </w:r>
      <w:r w:rsidR="00617182">
        <w:rPr>
          <w:rStyle w:val="ads"/>
          <w:sz w:val="20"/>
          <w:szCs w:val="20"/>
        </w:rPr>
        <w:t>contact</w:t>
      </w:r>
      <w:r w:rsidR="004A4F74">
        <w:rPr>
          <w:rStyle w:val="ads"/>
          <w:sz w:val="20"/>
          <w:szCs w:val="20"/>
        </w:rPr>
        <w:t>s</w:t>
      </w:r>
      <w:r w:rsidR="00067F2F">
        <w:rPr>
          <w:rStyle w:val="ads"/>
          <w:sz w:val="20"/>
          <w:szCs w:val="20"/>
        </w:rPr>
        <w:t xml:space="preserve"> (</w:t>
      </w:r>
      <w:r w:rsidR="004A4F74">
        <w:rPr>
          <w:rStyle w:val="ads"/>
          <w:sz w:val="20"/>
          <w:szCs w:val="20"/>
        </w:rPr>
        <w:t xml:space="preserve">which we are transitioning away </w:t>
      </w:r>
      <w:r w:rsidR="009A1771">
        <w:rPr>
          <w:rStyle w:val="ads"/>
          <w:sz w:val="20"/>
          <w:szCs w:val="20"/>
        </w:rPr>
        <w:t>from</w:t>
      </w:r>
      <w:r w:rsidR="00067F2F">
        <w:rPr>
          <w:rStyle w:val="ads"/>
          <w:sz w:val="20"/>
          <w:szCs w:val="20"/>
        </w:rPr>
        <w:t>)</w:t>
      </w:r>
      <w:r w:rsidR="009A1771">
        <w:rPr>
          <w:rStyle w:val="ads"/>
          <w:sz w:val="20"/>
          <w:szCs w:val="20"/>
        </w:rPr>
        <w:t>, the</w:t>
      </w:r>
      <w:r w:rsidR="004A4F74">
        <w:rPr>
          <w:rStyle w:val="ads"/>
          <w:sz w:val="20"/>
          <w:szCs w:val="20"/>
        </w:rPr>
        <w:t xml:space="preserve"> </w:t>
      </w:r>
      <w:r w:rsidR="001F7351">
        <w:rPr>
          <w:rStyle w:val="ads"/>
          <w:sz w:val="20"/>
          <w:szCs w:val="20"/>
        </w:rPr>
        <w:t xml:space="preserve">weaker performance of </w:t>
      </w:r>
      <w:r w:rsidR="004A4F74">
        <w:rPr>
          <w:rStyle w:val="ads"/>
          <w:sz w:val="20"/>
          <w:szCs w:val="20"/>
        </w:rPr>
        <w:t>our chemical business</w:t>
      </w:r>
      <w:r w:rsidR="00C9346D">
        <w:rPr>
          <w:rStyle w:val="ads"/>
          <w:sz w:val="20"/>
          <w:szCs w:val="20"/>
        </w:rPr>
        <w:t xml:space="preserve"> and the</w:t>
      </w:r>
      <w:r w:rsidR="009A1771">
        <w:rPr>
          <w:rStyle w:val="ads"/>
          <w:sz w:val="20"/>
          <w:szCs w:val="20"/>
        </w:rPr>
        <w:t xml:space="preserve"> </w:t>
      </w:r>
      <w:r w:rsidR="00DC09F6">
        <w:rPr>
          <w:rStyle w:val="ads"/>
          <w:sz w:val="20"/>
          <w:szCs w:val="20"/>
        </w:rPr>
        <w:t xml:space="preserve">one-off current asset </w:t>
      </w:r>
      <w:r w:rsidR="00C9346D">
        <w:rPr>
          <w:rStyle w:val="ads"/>
          <w:sz w:val="20"/>
          <w:szCs w:val="20"/>
        </w:rPr>
        <w:t>adjustment</w:t>
      </w:r>
      <w:r w:rsidR="004A4F74">
        <w:rPr>
          <w:rStyle w:val="ads"/>
          <w:sz w:val="20"/>
          <w:szCs w:val="20"/>
        </w:rPr>
        <w:t xml:space="preserve">. </w:t>
      </w:r>
    </w:p>
    <w:p w14:paraId="7C251210" w14:textId="2116AE74" w:rsidR="004C2F00" w:rsidRDefault="004C2F00" w:rsidP="008E0EBF">
      <w:pPr>
        <w:pStyle w:val="aea"/>
        <w:jc w:val="both"/>
        <w:rPr>
          <w:rStyle w:val="ads"/>
          <w:rFonts w:ascii="Arial" w:hAnsi="Arial" w:cs="Arial"/>
          <w:b/>
          <w:bCs/>
          <w:color w:val="000000"/>
          <w:sz w:val="20"/>
          <w:szCs w:val="20"/>
        </w:rPr>
      </w:pPr>
      <w:r w:rsidRPr="00811359">
        <w:rPr>
          <w:rStyle w:val="ads"/>
          <w:rFonts w:ascii="Arial" w:hAnsi="Arial" w:cs="Arial"/>
          <w:b/>
          <w:bCs/>
          <w:color w:val="000000"/>
          <w:sz w:val="20"/>
          <w:szCs w:val="20"/>
        </w:rPr>
        <w:t>Operational Review</w:t>
      </w:r>
    </w:p>
    <w:p w14:paraId="54E0421D" w14:textId="3DBEEEEF" w:rsidR="0020063C" w:rsidRDefault="00A550CC" w:rsidP="008E0EBF">
      <w:pPr>
        <w:pStyle w:val="aea"/>
        <w:jc w:val="both"/>
        <w:rPr>
          <w:rFonts w:ascii="Arial" w:hAnsi="Arial" w:cs="Arial"/>
          <w:color w:val="000000"/>
          <w:sz w:val="20"/>
          <w:szCs w:val="20"/>
        </w:rPr>
      </w:pPr>
      <w:r w:rsidRPr="0077073D">
        <w:rPr>
          <w:rFonts w:ascii="Arial" w:hAnsi="Arial" w:cs="Arial"/>
          <w:b/>
          <w:bCs/>
          <w:color w:val="000000"/>
          <w:sz w:val="20"/>
          <w:szCs w:val="20"/>
        </w:rPr>
        <w:t>Fire Safety &amp; Security</w:t>
      </w:r>
      <w:r>
        <w:rPr>
          <w:rFonts w:ascii="Arial" w:hAnsi="Arial" w:cs="Arial"/>
          <w:b/>
          <w:bCs/>
          <w:color w:val="000000"/>
          <w:sz w:val="20"/>
          <w:szCs w:val="20"/>
        </w:rPr>
        <w:t xml:space="preserve"> </w:t>
      </w:r>
      <w:r w:rsidR="003734F3">
        <w:rPr>
          <w:rFonts w:ascii="Arial" w:hAnsi="Arial" w:cs="Arial"/>
          <w:color w:val="000000"/>
          <w:sz w:val="20"/>
          <w:szCs w:val="20"/>
        </w:rPr>
        <w:t xml:space="preserve">made </w:t>
      </w:r>
      <w:r>
        <w:rPr>
          <w:rFonts w:ascii="Arial" w:hAnsi="Arial" w:cs="Arial"/>
          <w:color w:val="000000"/>
          <w:sz w:val="20"/>
          <w:szCs w:val="20"/>
        </w:rPr>
        <w:t xml:space="preserve">four bolt-on acquisitions </w:t>
      </w:r>
      <w:r w:rsidR="003734F3">
        <w:rPr>
          <w:rFonts w:ascii="Arial" w:hAnsi="Arial" w:cs="Arial"/>
          <w:color w:val="000000"/>
          <w:sz w:val="20"/>
          <w:szCs w:val="20"/>
        </w:rPr>
        <w:t xml:space="preserve">during </w:t>
      </w:r>
      <w:r>
        <w:rPr>
          <w:rFonts w:ascii="Arial" w:hAnsi="Arial" w:cs="Arial"/>
          <w:color w:val="000000"/>
          <w:sz w:val="20"/>
          <w:szCs w:val="20"/>
        </w:rPr>
        <w:t>the year</w:t>
      </w:r>
      <w:r w:rsidR="001B1212">
        <w:rPr>
          <w:rFonts w:ascii="Arial" w:hAnsi="Arial" w:cs="Arial"/>
          <w:color w:val="000000"/>
          <w:sz w:val="20"/>
          <w:szCs w:val="20"/>
        </w:rPr>
        <w:t xml:space="preserve"> </w:t>
      </w:r>
      <w:r w:rsidR="003734F3">
        <w:rPr>
          <w:rFonts w:ascii="Arial" w:hAnsi="Arial" w:cs="Arial"/>
          <w:color w:val="000000"/>
          <w:sz w:val="20"/>
          <w:szCs w:val="20"/>
        </w:rPr>
        <w:t xml:space="preserve">for a total </w:t>
      </w:r>
      <w:r w:rsidR="009A70F6">
        <w:rPr>
          <w:rFonts w:ascii="Arial" w:hAnsi="Arial" w:cs="Arial"/>
          <w:color w:val="000000"/>
          <w:sz w:val="20"/>
          <w:szCs w:val="20"/>
        </w:rPr>
        <w:t xml:space="preserve">enterprise value </w:t>
      </w:r>
      <w:r w:rsidR="003734F3">
        <w:rPr>
          <w:rFonts w:ascii="Arial" w:hAnsi="Arial" w:cs="Arial"/>
          <w:color w:val="000000"/>
          <w:sz w:val="20"/>
          <w:szCs w:val="20"/>
        </w:rPr>
        <w:t xml:space="preserve">of </w:t>
      </w:r>
      <w:r w:rsidR="001B1212">
        <w:rPr>
          <w:rFonts w:ascii="Arial" w:hAnsi="Arial" w:cs="Arial"/>
          <w:color w:val="000000"/>
          <w:sz w:val="20"/>
          <w:szCs w:val="20"/>
        </w:rPr>
        <w:t>£</w:t>
      </w:r>
      <w:r w:rsidR="009F1DC6">
        <w:rPr>
          <w:rFonts w:ascii="Arial" w:hAnsi="Arial" w:cs="Arial"/>
          <w:color w:val="000000"/>
          <w:sz w:val="20"/>
          <w:szCs w:val="20"/>
        </w:rPr>
        <w:t>1</w:t>
      </w:r>
      <w:r w:rsidR="009A70F6">
        <w:rPr>
          <w:rFonts w:ascii="Arial" w:hAnsi="Arial" w:cs="Arial"/>
          <w:color w:val="000000"/>
          <w:sz w:val="20"/>
          <w:szCs w:val="20"/>
        </w:rPr>
        <w:t>6</w:t>
      </w:r>
      <w:r w:rsidR="003201F2">
        <w:rPr>
          <w:rFonts w:ascii="Arial" w:hAnsi="Arial" w:cs="Arial"/>
          <w:color w:val="000000"/>
          <w:sz w:val="20"/>
          <w:szCs w:val="20"/>
        </w:rPr>
        <w:t>.3</w:t>
      </w:r>
      <w:r w:rsidR="001B1212">
        <w:rPr>
          <w:rFonts w:ascii="Arial" w:hAnsi="Arial" w:cs="Arial"/>
          <w:color w:val="000000"/>
          <w:sz w:val="20"/>
          <w:szCs w:val="20"/>
        </w:rPr>
        <w:t xml:space="preserve"> million. Integration programmes are </w:t>
      </w:r>
      <w:r w:rsidR="0022182F">
        <w:rPr>
          <w:rFonts w:ascii="Arial" w:hAnsi="Arial" w:cs="Arial"/>
          <w:color w:val="000000"/>
          <w:sz w:val="20"/>
          <w:szCs w:val="20"/>
        </w:rPr>
        <w:t xml:space="preserve">now </w:t>
      </w:r>
      <w:r w:rsidR="001B1212">
        <w:rPr>
          <w:rFonts w:ascii="Arial" w:hAnsi="Arial" w:cs="Arial"/>
          <w:color w:val="000000"/>
          <w:sz w:val="20"/>
          <w:szCs w:val="20"/>
        </w:rPr>
        <w:t xml:space="preserve">concluding, </w:t>
      </w:r>
      <w:r w:rsidR="00F509E0">
        <w:rPr>
          <w:rFonts w:ascii="Arial" w:hAnsi="Arial" w:cs="Arial"/>
          <w:color w:val="000000"/>
          <w:sz w:val="20"/>
          <w:szCs w:val="20"/>
        </w:rPr>
        <w:t>with</w:t>
      </w:r>
      <w:r w:rsidR="001B1212">
        <w:rPr>
          <w:rFonts w:ascii="Arial" w:hAnsi="Arial" w:cs="Arial"/>
          <w:color w:val="000000"/>
          <w:sz w:val="20"/>
          <w:szCs w:val="20"/>
        </w:rPr>
        <w:t xml:space="preserve"> </w:t>
      </w:r>
      <w:r w:rsidR="00F509E0">
        <w:rPr>
          <w:rFonts w:ascii="Arial" w:hAnsi="Arial" w:cs="Arial"/>
          <w:color w:val="000000"/>
          <w:sz w:val="20"/>
          <w:szCs w:val="20"/>
        </w:rPr>
        <w:t xml:space="preserve">acquired </w:t>
      </w:r>
      <w:r w:rsidR="001B1212">
        <w:rPr>
          <w:rFonts w:ascii="Arial" w:hAnsi="Arial" w:cs="Arial"/>
          <w:color w:val="000000"/>
          <w:sz w:val="20"/>
          <w:szCs w:val="20"/>
        </w:rPr>
        <w:t>businesses performing well despite the</w:t>
      </w:r>
      <w:r w:rsidR="009F1DC6" w:rsidRPr="009F1DC6">
        <w:t xml:space="preserve"> </w:t>
      </w:r>
      <w:r w:rsidR="009F1DC6" w:rsidRPr="009F1DC6">
        <w:rPr>
          <w:rFonts w:ascii="Arial" w:hAnsi="Arial" w:cs="Arial"/>
          <w:color w:val="000000"/>
          <w:sz w:val="20"/>
          <w:szCs w:val="20"/>
        </w:rPr>
        <w:t>attrition of field-based fee earners</w:t>
      </w:r>
      <w:r w:rsidR="001B1212">
        <w:rPr>
          <w:rFonts w:ascii="Arial" w:hAnsi="Arial" w:cs="Arial"/>
          <w:color w:val="000000"/>
          <w:sz w:val="20"/>
          <w:szCs w:val="20"/>
        </w:rPr>
        <w:t xml:space="preserve"> </w:t>
      </w:r>
      <w:r w:rsidR="0022182F">
        <w:rPr>
          <w:rFonts w:ascii="Arial" w:hAnsi="Arial" w:cs="Arial"/>
          <w:color w:val="000000"/>
          <w:sz w:val="20"/>
          <w:szCs w:val="20"/>
        </w:rPr>
        <w:t xml:space="preserve">earlier in </w:t>
      </w:r>
      <w:r w:rsidR="001B1212">
        <w:rPr>
          <w:rFonts w:ascii="Arial" w:hAnsi="Arial" w:cs="Arial"/>
          <w:color w:val="000000"/>
          <w:sz w:val="20"/>
          <w:szCs w:val="20"/>
        </w:rPr>
        <w:t xml:space="preserve">the year. </w:t>
      </w:r>
    </w:p>
    <w:p w14:paraId="5D311F9F" w14:textId="0D780A1F" w:rsidR="000F620F" w:rsidRDefault="000F620F" w:rsidP="000F620F">
      <w:pPr>
        <w:pStyle w:val="aea"/>
        <w:jc w:val="both"/>
        <w:rPr>
          <w:rFonts w:ascii="Arial" w:hAnsi="Arial" w:cs="Arial"/>
          <w:color w:val="000000"/>
          <w:sz w:val="20"/>
          <w:szCs w:val="20"/>
        </w:rPr>
      </w:pPr>
      <w:r>
        <w:rPr>
          <w:rFonts w:ascii="Arial" w:hAnsi="Arial" w:cs="Arial"/>
          <w:color w:val="000000"/>
          <w:sz w:val="20"/>
          <w:szCs w:val="20"/>
        </w:rPr>
        <w:t xml:space="preserve">We have continued </w:t>
      </w:r>
      <w:r w:rsidR="003734F3">
        <w:rPr>
          <w:rFonts w:ascii="Arial" w:hAnsi="Arial" w:cs="Arial"/>
          <w:color w:val="000000"/>
          <w:sz w:val="20"/>
          <w:szCs w:val="20"/>
        </w:rPr>
        <w:t xml:space="preserve">to benefit from </w:t>
      </w:r>
      <w:r>
        <w:rPr>
          <w:rFonts w:ascii="Arial" w:hAnsi="Arial" w:cs="Arial"/>
          <w:color w:val="000000"/>
          <w:sz w:val="20"/>
          <w:szCs w:val="20"/>
        </w:rPr>
        <w:t>strong customer retention with our customer</w:t>
      </w:r>
      <w:r w:rsidR="000B5743">
        <w:rPr>
          <w:rFonts w:ascii="Arial" w:hAnsi="Arial" w:cs="Arial"/>
          <w:color w:val="000000"/>
          <w:sz w:val="20"/>
          <w:szCs w:val="20"/>
        </w:rPr>
        <w:t xml:space="preserve">s </w:t>
      </w:r>
      <w:r w:rsidR="003734F3">
        <w:rPr>
          <w:rFonts w:ascii="Arial" w:hAnsi="Arial" w:cs="Arial"/>
          <w:color w:val="000000"/>
          <w:sz w:val="20"/>
          <w:szCs w:val="20"/>
        </w:rPr>
        <w:t xml:space="preserve">retained </w:t>
      </w:r>
      <w:r w:rsidR="000B5743">
        <w:rPr>
          <w:rFonts w:ascii="Arial" w:hAnsi="Arial" w:cs="Arial"/>
          <w:color w:val="000000"/>
          <w:sz w:val="20"/>
          <w:szCs w:val="20"/>
        </w:rPr>
        <w:t xml:space="preserve">on average </w:t>
      </w:r>
      <w:r>
        <w:rPr>
          <w:rFonts w:ascii="Arial" w:hAnsi="Arial" w:cs="Arial"/>
          <w:color w:val="000000"/>
          <w:sz w:val="20"/>
          <w:szCs w:val="20"/>
        </w:rPr>
        <w:t xml:space="preserve">for </w:t>
      </w:r>
      <w:r w:rsidR="003734F3">
        <w:rPr>
          <w:rFonts w:ascii="Arial" w:hAnsi="Arial" w:cs="Arial"/>
          <w:color w:val="000000"/>
          <w:sz w:val="20"/>
          <w:szCs w:val="20"/>
        </w:rPr>
        <w:t>more than</w:t>
      </w:r>
      <w:r w:rsidR="00E44E62">
        <w:rPr>
          <w:rFonts w:ascii="Arial" w:hAnsi="Arial" w:cs="Arial"/>
          <w:color w:val="000000"/>
          <w:sz w:val="20"/>
          <w:szCs w:val="20"/>
        </w:rPr>
        <w:t xml:space="preserve"> </w:t>
      </w:r>
      <w:r>
        <w:rPr>
          <w:rFonts w:ascii="Arial" w:hAnsi="Arial" w:cs="Arial"/>
          <w:color w:val="000000"/>
          <w:sz w:val="20"/>
          <w:szCs w:val="20"/>
        </w:rPr>
        <w:t>10 years. We believe this is attributable to continuous improvements in our customer service levels, innovati</w:t>
      </w:r>
      <w:r w:rsidR="00E44E62">
        <w:rPr>
          <w:rFonts w:ascii="Arial" w:hAnsi="Arial" w:cs="Arial"/>
          <w:color w:val="000000"/>
          <w:sz w:val="20"/>
          <w:szCs w:val="20"/>
        </w:rPr>
        <w:t>ve new solutions</w:t>
      </w:r>
      <w:r>
        <w:rPr>
          <w:rFonts w:ascii="Arial" w:hAnsi="Arial" w:cs="Arial"/>
          <w:color w:val="000000"/>
          <w:sz w:val="20"/>
          <w:szCs w:val="20"/>
        </w:rPr>
        <w:t xml:space="preserve"> and our dedication to ensuring our customers</w:t>
      </w:r>
      <w:r w:rsidR="003201F2">
        <w:rPr>
          <w:rFonts w:ascii="Arial" w:hAnsi="Arial" w:cs="Arial"/>
          <w:color w:val="000000"/>
          <w:sz w:val="20"/>
          <w:szCs w:val="20"/>
        </w:rPr>
        <w:t>’</w:t>
      </w:r>
      <w:r>
        <w:rPr>
          <w:rFonts w:ascii="Arial" w:hAnsi="Arial" w:cs="Arial"/>
          <w:color w:val="000000"/>
          <w:sz w:val="20"/>
          <w:szCs w:val="20"/>
        </w:rPr>
        <w:t xml:space="preserve"> ongoing compliance with legislation. Compliance rates</w:t>
      </w:r>
      <w:r>
        <w:rPr>
          <w:rStyle w:val="FootnoteReference"/>
          <w:rFonts w:ascii="Arial" w:hAnsi="Arial" w:cs="Arial"/>
          <w:color w:val="000000"/>
          <w:sz w:val="20"/>
          <w:szCs w:val="20"/>
        </w:rPr>
        <w:footnoteReference w:id="6"/>
      </w:r>
      <w:r>
        <w:rPr>
          <w:rFonts w:ascii="Arial" w:hAnsi="Arial" w:cs="Arial"/>
          <w:color w:val="000000"/>
          <w:sz w:val="20"/>
          <w:szCs w:val="20"/>
        </w:rPr>
        <w:t xml:space="preserve"> received unwavering focus </w:t>
      </w:r>
      <w:r w:rsidR="00E44E62">
        <w:rPr>
          <w:rFonts w:ascii="Arial" w:hAnsi="Arial" w:cs="Arial"/>
          <w:color w:val="000000"/>
          <w:sz w:val="20"/>
          <w:szCs w:val="20"/>
        </w:rPr>
        <w:t xml:space="preserve">during the </w:t>
      </w:r>
      <w:r>
        <w:rPr>
          <w:rFonts w:ascii="Arial" w:hAnsi="Arial" w:cs="Arial"/>
          <w:color w:val="000000"/>
          <w:sz w:val="20"/>
          <w:szCs w:val="20"/>
        </w:rPr>
        <w:t xml:space="preserve">year, with </w:t>
      </w:r>
      <w:r w:rsidR="00E44E62">
        <w:rPr>
          <w:rFonts w:ascii="Arial" w:hAnsi="Arial" w:cs="Arial"/>
          <w:color w:val="000000"/>
          <w:sz w:val="20"/>
          <w:szCs w:val="20"/>
        </w:rPr>
        <w:t xml:space="preserve">compliance levels </w:t>
      </w:r>
      <w:r>
        <w:rPr>
          <w:rFonts w:ascii="Arial" w:hAnsi="Arial" w:cs="Arial"/>
          <w:color w:val="000000"/>
          <w:sz w:val="20"/>
          <w:szCs w:val="20"/>
        </w:rPr>
        <w:t xml:space="preserve">improving to 98% (FY23: </w:t>
      </w:r>
      <w:r>
        <w:rPr>
          <w:rFonts w:ascii="Arial" w:hAnsi="Arial" w:cs="Arial"/>
          <w:color w:val="000000"/>
          <w:sz w:val="20"/>
          <w:szCs w:val="20"/>
        </w:rPr>
        <w:lastRenderedPageBreak/>
        <w:t>97%) as we continue</w:t>
      </w:r>
      <w:r w:rsidR="00E44E62">
        <w:rPr>
          <w:rFonts w:ascii="Arial" w:hAnsi="Arial" w:cs="Arial"/>
          <w:color w:val="000000"/>
          <w:sz w:val="20"/>
          <w:szCs w:val="20"/>
        </w:rPr>
        <w:t xml:space="preserve">d </w:t>
      </w:r>
      <w:r>
        <w:rPr>
          <w:rFonts w:ascii="Arial" w:hAnsi="Arial" w:cs="Arial"/>
          <w:color w:val="000000"/>
          <w:sz w:val="20"/>
          <w:szCs w:val="20"/>
        </w:rPr>
        <w:t xml:space="preserve">to benefit from improved scheduling, and our ability to multi skill our engineers through </w:t>
      </w:r>
      <w:r w:rsidR="00E44E62">
        <w:rPr>
          <w:rFonts w:ascii="Arial" w:hAnsi="Arial" w:cs="Arial"/>
          <w:color w:val="000000"/>
          <w:sz w:val="20"/>
          <w:szCs w:val="20"/>
        </w:rPr>
        <w:t xml:space="preserve">Marlowe Academy, </w:t>
      </w:r>
      <w:r>
        <w:rPr>
          <w:rFonts w:ascii="Arial" w:hAnsi="Arial" w:cs="Arial"/>
          <w:color w:val="000000"/>
          <w:sz w:val="20"/>
          <w:szCs w:val="20"/>
        </w:rPr>
        <w:t xml:space="preserve">our inhouse training facility. </w:t>
      </w:r>
    </w:p>
    <w:p w14:paraId="4096FE76" w14:textId="289B3F31" w:rsidR="000F620F" w:rsidRDefault="000F620F" w:rsidP="000F620F">
      <w:pPr>
        <w:pStyle w:val="aea"/>
        <w:jc w:val="both"/>
        <w:rPr>
          <w:rFonts w:ascii="Arial" w:hAnsi="Arial" w:cs="Arial"/>
          <w:color w:val="000000"/>
          <w:sz w:val="20"/>
          <w:szCs w:val="20"/>
        </w:rPr>
      </w:pPr>
      <w:r>
        <w:rPr>
          <w:rFonts w:ascii="Arial" w:hAnsi="Arial" w:cs="Arial"/>
          <w:color w:val="000000"/>
          <w:sz w:val="20"/>
          <w:szCs w:val="20"/>
        </w:rPr>
        <w:t xml:space="preserve">Over the year </w:t>
      </w:r>
      <w:r w:rsidR="000B5743">
        <w:rPr>
          <w:rFonts w:ascii="Arial" w:hAnsi="Arial" w:cs="Arial"/>
          <w:color w:val="000000"/>
          <w:sz w:val="20"/>
          <w:szCs w:val="20"/>
        </w:rPr>
        <w:t>we have</w:t>
      </w:r>
      <w:r>
        <w:rPr>
          <w:rFonts w:ascii="Arial" w:hAnsi="Arial" w:cs="Arial"/>
          <w:color w:val="000000"/>
          <w:sz w:val="20"/>
          <w:szCs w:val="20"/>
        </w:rPr>
        <w:t xml:space="preserve"> continued to develop innovative solutions for </w:t>
      </w:r>
      <w:r w:rsidR="000B5743">
        <w:rPr>
          <w:rFonts w:ascii="Arial" w:hAnsi="Arial" w:cs="Arial"/>
          <w:color w:val="000000"/>
          <w:sz w:val="20"/>
          <w:szCs w:val="20"/>
        </w:rPr>
        <w:t xml:space="preserve">our </w:t>
      </w:r>
      <w:r>
        <w:rPr>
          <w:rFonts w:ascii="Arial" w:hAnsi="Arial" w:cs="Arial"/>
          <w:color w:val="000000"/>
          <w:sz w:val="20"/>
          <w:szCs w:val="20"/>
        </w:rPr>
        <w:t xml:space="preserve">customers, underpinned by </w:t>
      </w:r>
      <w:r w:rsidR="0083220C">
        <w:rPr>
          <w:rFonts w:ascii="Arial" w:hAnsi="Arial" w:cs="Arial"/>
          <w:color w:val="000000"/>
          <w:sz w:val="20"/>
          <w:szCs w:val="20"/>
        </w:rPr>
        <w:t xml:space="preserve">our </w:t>
      </w:r>
      <w:r>
        <w:rPr>
          <w:rFonts w:ascii="Arial" w:hAnsi="Arial" w:cs="Arial"/>
          <w:color w:val="000000"/>
          <w:sz w:val="20"/>
          <w:szCs w:val="20"/>
        </w:rPr>
        <w:t>24/7 alarm monitoring centres based in Manchester. Connected services provide the division with the ability to design and deliver bespoke loss prevention programmes which are supported by</w:t>
      </w:r>
      <w:r w:rsidR="00297C0C">
        <w:rPr>
          <w:rFonts w:ascii="Arial" w:hAnsi="Arial" w:cs="Arial"/>
          <w:color w:val="000000"/>
          <w:sz w:val="20"/>
          <w:szCs w:val="20"/>
        </w:rPr>
        <w:t xml:space="preserve"> a </w:t>
      </w:r>
      <w:r>
        <w:rPr>
          <w:rFonts w:ascii="Arial" w:hAnsi="Arial" w:cs="Arial"/>
          <w:color w:val="000000"/>
          <w:sz w:val="20"/>
          <w:szCs w:val="20"/>
        </w:rPr>
        <w:t xml:space="preserve">robust </w:t>
      </w:r>
      <w:r w:rsidR="007C7DEA">
        <w:rPr>
          <w:rFonts w:ascii="Arial" w:hAnsi="Arial" w:cs="Arial"/>
          <w:color w:val="000000"/>
          <w:sz w:val="20"/>
          <w:szCs w:val="20"/>
        </w:rPr>
        <w:t>return on investment</w:t>
      </w:r>
      <w:r>
        <w:rPr>
          <w:rFonts w:ascii="Arial" w:hAnsi="Arial" w:cs="Arial"/>
          <w:color w:val="000000"/>
          <w:sz w:val="20"/>
          <w:szCs w:val="20"/>
        </w:rPr>
        <w:t xml:space="preserve">. </w:t>
      </w:r>
    </w:p>
    <w:p w14:paraId="7BACDDB0" w14:textId="6AE02D7C" w:rsidR="000F620F" w:rsidRDefault="000F620F" w:rsidP="000F620F">
      <w:pPr>
        <w:pStyle w:val="aea"/>
        <w:jc w:val="both"/>
        <w:rPr>
          <w:rFonts w:ascii="Arial" w:hAnsi="Arial" w:cs="Arial"/>
          <w:color w:val="000000"/>
          <w:sz w:val="20"/>
          <w:szCs w:val="20"/>
        </w:rPr>
      </w:pPr>
      <w:r>
        <w:rPr>
          <w:rFonts w:ascii="Arial" w:hAnsi="Arial" w:cs="Arial"/>
          <w:color w:val="000000"/>
          <w:sz w:val="20"/>
          <w:szCs w:val="20"/>
        </w:rPr>
        <w:t xml:space="preserve">During the year we </w:t>
      </w:r>
      <w:r w:rsidR="004D79F9">
        <w:rPr>
          <w:rFonts w:ascii="Arial" w:hAnsi="Arial" w:cs="Arial"/>
          <w:color w:val="000000"/>
          <w:sz w:val="20"/>
          <w:szCs w:val="20"/>
        </w:rPr>
        <w:t xml:space="preserve">placed </w:t>
      </w:r>
      <w:r>
        <w:rPr>
          <w:rFonts w:ascii="Arial" w:hAnsi="Arial" w:cs="Arial"/>
          <w:color w:val="000000"/>
          <w:sz w:val="20"/>
          <w:szCs w:val="20"/>
        </w:rPr>
        <w:t xml:space="preserve">strong emphasis on improving </w:t>
      </w:r>
      <w:r w:rsidR="004D79F9">
        <w:rPr>
          <w:rFonts w:ascii="Arial" w:hAnsi="Arial" w:cs="Arial"/>
          <w:color w:val="000000"/>
          <w:sz w:val="20"/>
          <w:szCs w:val="20"/>
        </w:rPr>
        <w:t xml:space="preserve">our </w:t>
      </w:r>
      <w:r>
        <w:rPr>
          <w:rFonts w:ascii="Arial" w:hAnsi="Arial" w:cs="Arial"/>
          <w:color w:val="000000"/>
          <w:sz w:val="20"/>
          <w:szCs w:val="20"/>
        </w:rPr>
        <w:t>data analytics which has resulted in greater visibility over our customers</w:t>
      </w:r>
      <w:r w:rsidR="00297C0C">
        <w:rPr>
          <w:rFonts w:ascii="Arial" w:hAnsi="Arial" w:cs="Arial"/>
          <w:color w:val="000000"/>
          <w:sz w:val="20"/>
          <w:szCs w:val="20"/>
        </w:rPr>
        <w:t>’</w:t>
      </w:r>
      <w:r>
        <w:rPr>
          <w:rFonts w:ascii="Arial" w:hAnsi="Arial" w:cs="Arial"/>
          <w:color w:val="000000"/>
          <w:sz w:val="20"/>
          <w:szCs w:val="20"/>
        </w:rPr>
        <w:t xml:space="preserve"> portfolio and profitability. </w:t>
      </w:r>
      <w:r w:rsidR="00F91C44">
        <w:rPr>
          <w:rFonts w:ascii="Arial" w:hAnsi="Arial" w:cs="Arial"/>
          <w:color w:val="000000"/>
          <w:sz w:val="20"/>
          <w:szCs w:val="20"/>
        </w:rPr>
        <w:t>We expect</w:t>
      </w:r>
      <w:r w:rsidR="007C7DEA">
        <w:rPr>
          <w:rFonts w:ascii="Arial" w:hAnsi="Arial" w:cs="Arial"/>
          <w:color w:val="000000"/>
          <w:sz w:val="20"/>
          <w:szCs w:val="20"/>
        </w:rPr>
        <w:t xml:space="preserve"> the</w:t>
      </w:r>
      <w:r w:rsidR="00F91C44">
        <w:rPr>
          <w:rFonts w:ascii="Arial" w:hAnsi="Arial" w:cs="Arial"/>
          <w:color w:val="000000"/>
          <w:sz w:val="20"/>
          <w:szCs w:val="20"/>
        </w:rPr>
        <w:t xml:space="preserve"> </w:t>
      </w:r>
      <w:r w:rsidR="007C7DEA">
        <w:rPr>
          <w:rFonts w:ascii="Arial" w:hAnsi="Arial" w:cs="Arial"/>
          <w:color w:val="000000"/>
          <w:sz w:val="20"/>
          <w:szCs w:val="20"/>
        </w:rPr>
        <w:t>i</w:t>
      </w:r>
      <w:r>
        <w:rPr>
          <w:rFonts w:ascii="Arial" w:hAnsi="Arial" w:cs="Arial"/>
          <w:color w:val="000000"/>
          <w:sz w:val="20"/>
          <w:szCs w:val="20"/>
        </w:rPr>
        <w:t>mprov</w:t>
      </w:r>
      <w:r w:rsidR="00F91C44">
        <w:rPr>
          <w:rFonts w:ascii="Arial" w:hAnsi="Arial" w:cs="Arial"/>
          <w:color w:val="000000"/>
          <w:sz w:val="20"/>
          <w:szCs w:val="20"/>
        </w:rPr>
        <w:t xml:space="preserve">ed </w:t>
      </w:r>
      <w:r>
        <w:rPr>
          <w:rFonts w:ascii="Arial" w:hAnsi="Arial" w:cs="Arial"/>
          <w:color w:val="000000"/>
          <w:sz w:val="20"/>
          <w:szCs w:val="20"/>
        </w:rPr>
        <w:t>transparency o</w:t>
      </w:r>
      <w:r w:rsidR="00F91C44">
        <w:rPr>
          <w:rFonts w:ascii="Arial" w:hAnsi="Arial" w:cs="Arial"/>
          <w:color w:val="000000"/>
          <w:sz w:val="20"/>
          <w:szCs w:val="20"/>
        </w:rPr>
        <w:t xml:space="preserve">n </w:t>
      </w:r>
      <w:r>
        <w:rPr>
          <w:rFonts w:ascii="Arial" w:hAnsi="Arial" w:cs="Arial"/>
          <w:color w:val="000000"/>
          <w:sz w:val="20"/>
          <w:szCs w:val="20"/>
        </w:rPr>
        <w:t xml:space="preserve">the financial performance of </w:t>
      </w:r>
      <w:r w:rsidR="00F91C44">
        <w:rPr>
          <w:rFonts w:ascii="Arial" w:hAnsi="Arial" w:cs="Arial"/>
          <w:color w:val="000000"/>
          <w:sz w:val="20"/>
          <w:szCs w:val="20"/>
        </w:rPr>
        <w:t xml:space="preserve">our </w:t>
      </w:r>
      <w:r>
        <w:rPr>
          <w:rFonts w:ascii="Arial" w:hAnsi="Arial" w:cs="Arial"/>
          <w:color w:val="000000"/>
          <w:sz w:val="20"/>
          <w:szCs w:val="20"/>
        </w:rPr>
        <w:t xml:space="preserve">operations </w:t>
      </w:r>
      <w:r w:rsidR="00F91C44">
        <w:rPr>
          <w:rFonts w:ascii="Arial" w:hAnsi="Arial" w:cs="Arial"/>
          <w:color w:val="000000"/>
          <w:sz w:val="20"/>
          <w:szCs w:val="20"/>
        </w:rPr>
        <w:t xml:space="preserve">to </w:t>
      </w:r>
      <w:r>
        <w:rPr>
          <w:rFonts w:ascii="Arial" w:hAnsi="Arial" w:cs="Arial"/>
          <w:color w:val="000000"/>
          <w:sz w:val="20"/>
          <w:szCs w:val="20"/>
        </w:rPr>
        <w:t xml:space="preserve">result in more effective </w:t>
      </w:r>
      <w:r w:rsidR="00F91C44">
        <w:rPr>
          <w:rFonts w:ascii="Arial" w:hAnsi="Arial" w:cs="Arial"/>
          <w:color w:val="000000"/>
          <w:sz w:val="20"/>
          <w:szCs w:val="20"/>
        </w:rPr>
        <w:t xml:space="preserve">contract </w:t>
      </w:r>
      <w:r>
        <w:rPr>
          <w:rFonts w:ascii="Arial" w:hAnsi="Arial" w:cs="Arial"/>
          <w:color w:val="000000"/>
          <w:sz w:val="20"/>
          <w:szCs w:val="20"/>
        </w:rPr>
        <w:t>pricing and negotiations</w:t>
      </w:r>
      <w:r w:rsidR="00280775">
        <w:rPr>
          <w:rFonts w:ascii="Arial" w:hAnsi="Arial" w:cs="Arial"/>
          <w:color w:val="000000"/>
          <w:sz w:val="20"/>
          <w:szCs w:val="20"/>
        </w:rPr>
        <w:t xml:space="preserve"> across the </w:t>
      </w:r>
      <w:r w:rsidR="007C7DEA">
        <w:rPr>
          <w:rFonts w:ascii="Arial" w:hAnsi="Arial" w:cs="Arial"/>
          <w:color w:val="000000"/>
          <w:sz w:val="20"/>
          <w:szCs w:val="20"/>
        </w:rPr>
        <w:t>business</w:t>
      </w:r>
      <w:r>
        <w:rPr>
          <w:rFonts w:ascii="Arial" w:hAnsi="Arial" w:cs="Arial"/>
          <w:color w:val="000000"/>
          <w:sz w:val="20"/>
          <w:szCs w:val="20"/>
        </w:rPr>
        <w:t xml:space="preserve">. </w:t>
      </w:r>
    </w:p>
    <w:p w14:paraId="60E846E8" w14:textId="6DD6F476" w:rsidR="008E0EBF" w:rsidRPr="0077073D" w:rsidRDefault="00D0594B" w:rsidP="00806323">
      <w:pPr>
        <w:pStyle w:val="aea"/>
        <w:jc w:val="both"/>
        <w:rPr>
          <w:rFonts w:ascii="Arial" w:hAnsi="Arial" w:cs="Arial"/>
          <w:color w:val="000000"/>
          <w:sz w:val="20"/>
          <w:szCs w:val="20"/>
        </w:rPr>
      </w:pPr>
      <w:r>
        <w:rPr>
          <w:rFonts w:ascii="Arial" w:hAnsi="Arial" w:cs="Arial"/>
          <w:color w:val="000000"/>
          <w:sz w:val="20"/>
          <w:szCs w:val="20"/>
        </w:rPr>
        <w:t xml:space="preserve">Additionally, we have </w:t>
      </w:r>
      <w:r w:rsidR="00180FBF">
        <w:rPr>
          <w:rFonts w:ascii="Arial" w:hAnsi="Arial" w:cs="Arial"/>
          <w:color w:val="000000"/>
          <w:sz w:val="20"/>
          <w:szCs w:val="20"/>
        </w:rPr>
        <w:t>increasing</w:t>
      </w:r>
      <w:r w:rsidR="00F22E44">
        <w:rPr>
          <w:rFonts w:ascii="Arial" w:hAnsi="Arial" w:cs="Arial"/>
          <w:color w:val="000000"/>
          <w:sz w:val="20"/>
          <w:szCs w:val="20"/>
        </w:rPr>
        <w:t xml:space="preserve">ly </w:t>
      </w:r>
      <w:r w:rsidR="00180FBF">
        <w:rPr>
          <w:rFonts w:ascii="Arial" w:hAnsi="Arial" w:cs="Arial"/>
          <w:color w:val="000000"/>
          <w:sz w:val="20"/>
          <w:szCs w:val="20"/>
        </w:rPr>
        <w:t>focus</w:t>
      </w:r>
      <w:r w:rsidR="00F22E44">
        <w:rPr>
          <w:rFonts w:ascii="Arial" w:hAnsi="Arial" w:cs="Arial"/>
          <w:color w:val="000000"/>
          <w:sz w:val="20"/>
          <w:szCs w:val="20"/>
        </w:rPr>
        <w:t xml:space="preserve">sed </w:t>
      </w:r>
      <w:r w:rsidR="00180FBF">
        <w:rPr>
          <w:rFonts w:ascii="Arial" w:hAnsi="Arial" w:cs="Arial"/>
          <w:color w:val="000000"/>
          <w:sz w:val="20"/>
          <w:szCs w:val="20"/>
        </w:rPr>
        <w:t xml:space="preserve">on </w:t>
      </w:r>
      <w:r>
        <w:rPr>
          <w:rFonts w:ascii="Arial" w:hAnsi="Arial" w:cs="Arial"/>
          <w:color w:val="000000"/>
          <w:sz w:val="20"/>
          <w:szCs w:val="20"/>
        </w:rPr>
        <w:t>employee retention.</w:t>
      </w:r>
      <w:r w:rsidR="00F14C20">
        <w:rPr>
          <w:rFonts w:ascii="Arial" w:hAnsi="Arial" w:cs="Arial"/>
          <w:color w:val="000000"/>
          <w:sz w:val="20"/>
          <w:szCs w:val="20"/>
        </w:rPr>
        <w:t xml:space="preserve"> Given the nature of Marlowe’s business, r</w:t>
      </w:r>
      <w:r w:rsidR="004D19AF">
        <w:rPr>
          <w:rFonts w:ascii="Arial" w:hAnsi="Arial" w:cs="Arial"/>
          <w:color w:val="000000"/>
          <w:sz w:val="20"/>
          <w:szCs w:val="20"/>
        </w:rPr>
        <w:t xml:space="preserve">etaining and hiring talent </w:t>
      </w:r>
      <w:r w:rsidR="00686441">
        <w:rPr>
          <w:rFonts w:ascii="Arial" w:hAnsi="Arial" w:cs="Arial"/>
          <w:color w:val="000000"/>
          <w:sz w:val="20"/>
          <w:szCs w:val="20"/>
        </w:rPr>
        <w:t xml:space="preserve">is crucial in fulfilling any new </w:t>
      </w:r>
      <w:r w:rsidR="00806323">
        <w:rPr>
          <w:rFonts w:ascii="Arial" w:hAnsi="Arial" w:cs="Arial"/>
          <w:color w:val="000000"/>
          <w:sz w:val="20"/>
          <w:szCs w:val="20"/>
        </w:rPr>
        <w:t>work</w:t>
      </w:r>
      <w:r w:rsidR="00686441">
        <w:rPr>
          <w:rFonts w:ascii="Arial" w:hAnsi="Arial" w:cs="Arial"/>
          <w:color w:val="000000"/>
          <w:sz w:val="20"/>
          <w:szCs w:val="20"/>
        </w:rPr>
        <w:t xml:space="preserve"> </w:t>
      </w:r>
      <w:r w:rsidR="00806323">
        <w:rPr>
          <w:rFonts w:ascii="Arial" w:hAnsi="Arial" w:cs="Arial"/>
          <w:color w:val="000000"/>
          <w:sz w:val="20"/>
          <w:szCs w:val="20"/>
        </w:rPr>
        <w:t xml:space="preserve">and </w:t>
      </w:r>
      <w:r w:rsidR="00686441">
        <w:rPr>
          <w:rFonts w:ascii="Arial" w:hAnsi="Arial" w:cs="Arial"/>
          <w:color w:val="000000"/>
          <w:sz w:val="20"/>
          <w:szCs w:val="20"/>
        </w:rPr>
        <w:t xml:space="preserve">an effective HR programme </w:t>
      </w:r>
      <w:r w:rsidR="00F22E44">
        <w:rPr>
          <w:rFonts w:ascii="Arial" w:hAnsi="Arial" w:cs="Arial"/>
          <w:color w:val="000000"/>
          <w:sz w:val="20"/>
          <w:szCs w:val="20"/>
        </w:rPr>
        <w:t xml:space="preserve">is critical to reducing </w:t>
      </w:r>
      <w:r w:rsidR="00686441">
        <w:rPr>
          <w:rFonts w:ascii="Arial" w:hAnsi="Arial" w:cs="Arial"/>
          <w:color w:val="000000"/>
          <w:sz w:val="20"/>
          <w:szCs w:val="20"/>
        </w:rPr>
        <w:t xml:space="preserve">constraints on </w:t>
      </w:r>
      <w:r w:rsidR="00F22E44">
        <w:rPr>
          <w:rFonts w:ascii="Arial" w:hAnsi="Arial" w:cs="Arial"/>
          <w:color w:val="000000"/>
          <w:sz w:val="20"/>
          <w:szCs w:val="20"/>
        </w:rPr>
        <w:t xml:space="preserve">our </w:t>
      </w:r>
      <w:r w:rsidR="00686441">
        <w:rPr>
          <w:rFonts w:ascii="Arial" w:hAnsi="Arial" w:cs="Arial"/>
          <w:color w:val="000000"/>
          <w:sz w:val="20"/>
          <w:szCs w:val="20"/>
        </w:rPr>
        <w:t xml:space="preserve">growth and </w:t>
      </w:r>
      <w:r w:rsidR="00F22E44">
        <w:rPr>
          <w:rFonts w:ascii="Arial" w:hAnsi="Arial" w:cs="Arial"/>
          <w:color w:val="000000"/>
          <w:sz w:val="20"/>
          <w:szCs w:val="20"/>
        </w:rPr>
        <w:t xml:space="preserve">use </w:t>
      </w:r>
      <w:r w:rsidR="00686441">
        <w:rPr>
          <w:rFonts w:ascii="Arial" w:hAnsi="Arial" w:cs="Arial"/>
          <w:color w:val="000000"/>
          <w:sz w:val="20"/>
          <w:szCs w:val="20"/>
        </w:rPr>
        <w:t>o</w:t>
      </w:r>
      <w:r w:rsidR="00F22E44">
        <w:rPr>
          <w:rFonts w:ascii="Arial" w:hAnsi="Arial" w:cs="Arial"/>
          <w:color w:val="000000"/>
          <w:sz w:val="20"/>
          <w:szCs w:val="20"/>
        </w:rPr>
        <w:t>f</w:t>
      </w:r>
      <w:r w:rsidR="00686441">
        <w:rPr>
          <w:rFonts w:ascii="Arial" w:hAnsi="Arial" w:cs="Arial"/>
          <w:color w:val="000000"/>
          <w:sz w:val="20"/>
          <w:szCs w:val="20"/>
        </w:rPr>
        <w:t xml:space="preserve"> subcontractors</w:t>
      </w:r>
      <w:r w:rsidR="00F22E44">
        <w:rPr>
          <w:rFonts w:ascii="Arial" w:hAnsi="Arial" w:cs="Arial"/>
          <w:color w:val="000000"/>
          <w:sz w:val="20"/>
          <w:szCs w:val="20"/>
        </w:rPr>
        <w:t xml:space="preserve">, </w:t>
      </w:r>
      <w:r w:rsidR="00686441">
        <w:rPr>
          <w:rFonts w:ascii="Arial" w:hAnsi="Arial" w:cs="Arial"/>
          <w:color w:val="000000"/>
          <w:sz w:val="20"/>
          <w:szCs w:val="20"/>
        </w:rPr>
        <w:t>which</w:t>
      </w:r>
      <w:r w:rsidR="0022182F">
        <w:rPr>
          <w:rFonts w:ascii="Arial" w:hAnsi="Arial" w:cs="Arial"/>
          <w:color w:val="000000"/>
          <w:sz w:val="20"/>
          <w:szCs w:val="20"/>
        </w:rPr>
        <w:t xml:space="preserve"> in turn</w:t>
      </w:r>
      <w:r w:rsidR="00686441">
        <w:rPr>
          <w:rFonts w:ascii="Arial" w:hAnsi="Arial" w:cs="Arial"/>
          <w:color w:val="000000"/>
          <w:sz w:val="20"/>
          <w:szCs w:val="20"/>
        </w:rPr>
        <w:t xml:space="preserve"> dilutes margins</w:t>
      </w:r>
      <w:r>
        <w:rPr>
          <w:rFonts w:ascii="Arial" w:hAnsi="Arial" w:cs="Arial"/>
          <w:color w:val="000000"/>
          <w:sz w:val="20"/>
          <w:szCs w:val="20"/>
        </w:rPr>
        <w:t xml:space="preserve">. </w:t>
      </w:r>
      <w:r w:rsidR="00FE701F">
        <w:rPr>
          <w:rFonts w:ascii="Arial" w:hAnsi="Arial" w:cs="Arial"/>
          <w:color w:val="000000"/>
          <w:sz w:val="20"/>
          <w:szCs w:val="20"/>
        </w:rPr>
        <w:t xml:space="preserve">An example of this focus can be seen in </w:t>
      </w:r>
      <w:r w:rsidR="00AF5572">
        <w:rPr>
          <w:rFonts w:ascii="Arial" w:hAnsi="Arial" w:cs="Arial"/>
          <w:color w:val="000000"/>
          <w:sz w:val="20"/>
          <w:szCs w:val="20"/>
        </w:rPr>
        <w:t xml:space="preserve">our ability to train and qualify </w:t>
      </w:r>
      <w:r w:rsidR="00FE701F">
        <w:rPr>
          <w:rFonts w:ascii="Arial" w:hAnsi="Arial" w:cs="Arial"/>
          <w:color w:val="000000"/>
          <w:sz w:val="20"/>
          <w:szCs w:val="20"/>
        </w:rPr>
        <w:t>maintenance engineers</w:t>
      </w:r>
      <w:r w:rsidR="0014731B">
        <w:rPr>
          <w:rFonts w:ascii="Arial" w:hAnsi="Arial" w:cs="Arial"/>
          <w:color w:val="000000"/>
          <w:sz w:val="20"/>
          <w:szCs w:val="20"/>
        </w:rPr>
        <w:t xml:space="preserve"> </w:t>
      </w:r>
      <w:r w:rsidR="00FE701F">
        <w:rPr>
          <w:rFonts w:ascii="Arial" w:hAnsi="Arial" w:cs="Arial"/>
          <w:color w:val="000000"/>
          <w:sz w:val="20"/>
          <w:szCs w:val="20"/>
        </w:rPr>
        <w:t xml:space="preserve">through </w:t>
      </w:r>
      <w:r w:rsidR="00AF5572">
        <w:rPr>
          <w:rFonts w:ascii="Arial" w:hAnsi="Arial" w:cs="Arial"/>
          <w:color w:val="000000"/>
          <w:sz w:val="20"/>
          <w:szCs w:val="20"/>
        </w:rPr>
        <w:t>Marlowe Academy</w:t>
      </w:r>
      <w:r w:rsidR="00686441">
        <w:rPr>
          <w:rFonts w:ascii="Arial" w:hAnsi="Arial" w:cs="Arial"/>
          <w:color w:val="000000"/>
          <w:sz w:val="20"/>
          <w:szCs w:val="20"/>
        </w:rPr>
        <w:t xml:space="preserve">. We trained 30 maintenance engineers </w:t>
      </w:r>
      <w:r w:rsidR="00F22E44">
        <w:rPr>
          <w:rFonts w:ascii="Arial" w:hAnsi="Arial" w:cs="Arial"/>
          <w:color w:val="000000"/>
          <w:sz w:val="20"/>
          <w:szCs w:val="20"/>
        </w:rPr>
        <w:t xml:space="preserve">during the </w:t>
      </w:r>
      <w:r w:rsidR="00686441">
        <w:rPr>
          <w:rFonts w:ascii="Arial" w:hAnsi="Arial" w:cs="Arial"/>
          <w:color w:val="000000"/>
          <w:sz w:val="20"/>
          <w:szCs w:val="20"/>
        </w:rPr>
        <w:t xml:space="preserve">year, </w:t>
      </w:r>
      <w:r w:rsidR="00420B97">
        <w:rPr>
          <w:rFonts w:ascii="Arial" w:hAnsi="Arial" w:cs="Arial"/>
          <w:color w:val="000000"/>
          <w:sz w:val="20"/>
          <w:szCs w:val="20"/>
        </w:rPr>
        <w:t xml:space="preserve">which </w:t>
      </w:r>
      <w:r w:rsidR="00686441">
        <w:rPr>
          <w:rFonts w:ascii="Arial" w:hAnsi="Arial" w:cs="Arial"/>
          <w:color w:val="000000"/>
          <w:sz w:val="20"/>
          <w:szCs w:val="20"/>
        </w:rPr>
        <w:t>not only reduc</w:t>
      </w:r>
      <w:r w:rsidR="00420B97">
        <w:rPr>
          <w:rFonts w:ascii="Arial" w:hAnsi="Arial" w:cs="Arial"/>
          <w:color w:val="000000"/>
          <w:sz w:val="20"/>
          <w:szCs w:val="20"/>
        </w:rPr>
        <w:t xml:space="preserve">es </w:t>
      </w:r>
      <w:r w:rsidR="00F22E44">
        <w:rPr>
          <w:rFonts w:ascii="Arial" w:hAnsi="Arial" w:cs="Arial"/>
          <w:color w:val="000000"/>
          <w:sz w:val="20"/>
          <w:szCs w:val="20"/>
        </w:rPr>
        <w:t xml:space="preserve">our </w:t>
      </w:r>
      <w:r w:rsidR="00686441">
        <w:rPr>
          <w:rFonts w:ascii="Arial" w:hAnsi="Arial" w:cs="Arial"/>
          <w:color w:val="000000"/>
          <w:sz w:val="20"/>
          <w:szCs w:val="20"/>
        </w:rPr>
        <w:t xml:space="preserve">reliance on external </w:t>
      </w:r>
      <w:r w:rsidR="005F7B60">
        <w:rPr>
          <w:rFonts w:ascii="Arial" w:hAnsi="Arial" w:cs="Arial"/>
          <w:color w:val="000000"/>
          <w:sz w:val="20"/>
          <w:szCs w:val="20"/>
        </w:rPr>
        <w:t>candidates,</w:t>
      </w:r>
      <w:r w:rsidR="00686441">
        <w:rPr>
          <w:rFonts w:ascii="Arial" w:hAnsi="Arial" w:cs="Arial"/>
          <w:color w:val="000000"/>
          <w:sz w:val="20"/>
          <w:szCs w:val="20"/>
        </w:rPr>
        <w:t xml:space="preserve"> but </w:t>
      </w:r>
      <w:r w:rsidR="00420B97">
        <w:rPr>
          <w:rFonts w:ascii="Arial" w:hAnsi="Arial" w:cs="Arial"/>
          <w:color w:val="000000"/>
          <w:sz w:val="20"/>
          <w:szCs w:val="20"/>
        </w:rPr>
        <w:t xml:space="preserve">also facilitates </w:t>
      </w:r>
      <w:r w:rsidR="00180FBF">
        <w:rPr>
          <w:rFonts w:ascii="Arial" w:hAnsi="Arial" w:cs="Arial"/>
          <w:color w:val="000000"/>
          <w:sz w:val="20"/>
          <w:szCs w:val="20"/>
        </w:rPr>
        <w:t xml:space="preserve">longer </w:t>
      </w:r>
      <w:r w:rsidR="000F620F">
        <w:rPr>
          <w:rFonts w:ascii="Arial" w:hAnsi="Arial" w:cs="Arial"/>
          <w:color w:val="000000"/>
          <w:sz w:val="20"/>
          <w:szCs w:val="20"/>
        </w:rPr>
        <w:t xml:space="preserve">retention </w:t>
      </w:r>
      <w:r w:rsidR="005F7B60">
        <w:rPr>
          <w:rFonts w:ascii="Arial" w:hAnsi="Arial" w:cs="Arial"/>
          <w:color w:val="000000"/>
          <w:sz w:val="20"/>
          <w:szCs w:val="20"/>
        </w:rPr>
        <w:t xml:space="preserve">rates </w:t>
      </w:r>
      <w:r w:rsidR="00180FBF">
        <w:rPr>
          <w:rFonts w:ascii="Arial" w:hAnsi="Arial" w:cs="Arial"/>
          <w:color w:val="000000"/>
          <w:sz w:val="20"/>
          <w:szCs w:val="20"/>
        </w:rPr>
        <w:t xml:space="preserve">through </w:t>
      </w:r>
      <w:r w:rsidR="00F22E44">
        <w:rPr>
          <w:rFonts w:ascii="Arial" w:hAnsi="Arial" w:cs="Arial"/>
          <w:color w:val="000000"/>
          <w:sz w:val="20"/>
          <w:szCs w:val="20"/>
        </w:rPr>
        <w:t xml:space="preserve">the development of </w:t>
      </w:r>
      <w:r w:rsidR="00180FBF">
        <w:rPr>
          <w:rFonts w:ascii="Arial" w:hAnsi="Arial" w:cs="Arial"/>
          <w:color w:val="000000"/>
          <w:sz w:val="20"/>
          <w:szCs w:val="20"/>
        </w:rPr>
        <w:t xml:space="preserve">homegrown talent. </w:t>
      </w:r>
    </w:p>
    <w:p w14:paraId="523D6801" w14:textId="677E2627" w:rsidR="00F67D73" w:rsidRDefault="008E0EBF" w:rsidP="0014731B">
      <w:pPr>
        <w:spacing w:after="0" w:line="240" w:lineRule="auto"/>
        <w:jc w:val="both"/>
        <w:rPr>
          <w:rFonts w:ascii="Arial" w:eastAsia="Times New Roman" w:hAnsi="Arial" w:cs="Arial"/>
          <w:color w:val="000000"/>
          <w:sz w:val="20"/>
          <w:szCs w:val="20"/>
          <w:lang w:eastAsia="en-GB"/>
        </w:rPr>
      </w:pPr>
      <w:r w:rsidRPr="004A4F74">
        <w:rPr>
          <w:rFonts w:ascii="Arial" w:eastAsia="Times New Roman" w:hAnsi="Arial" w:cs="Arial"/>
          <w:b/>
          <w:bCs/>
          <w:color w:val="000000"/>
          <w:sz w:val="20"/>
          <w:szCs w:val="20"/>
          <w:lang w:eastAsia="en-GB"/>
        </w:rPr>
        <w:t xml:space="preserve">Water &amp; Air Hygiene </w:t>
      </w:r>
      <w:r w:rsidR="00116F1C">
        <w:rPr>
          <w:rFonts w:ascii="Arial" w:eastAsia="Times New Roman" w:hAnsi="Arial" w:cs="Arial"/>
          <w:color w:val="000000"/>
          <w:sz w:val="20"/>
          <w:szCs w:val="20"/>
          <w:lang w:eastAsia="en-GB"/>
        </w:rPr>
        <w:t xml:space="preserve">delivered </w:t>
      </w:r>
      <w:proofErr w:type="gramStart"/>
      <w:r w:rsidR="0054493C">
        <w:rPr>
          <w:rFonts w:ascii="Arial" w:eastAsia="Times New Roman" w:hAnsi="Arial" w:cs="Arial"/>
          <w:color w:val="000000"/>
          <w:sz w:val="20"/>
          <w:szCs w:val="20"/>
          <w:lang w:eastAsia="en-GB"/>
        </w:rPr>
        <w:t>a number of</w:t>
      </w:r>
      <w:proofErr w:type="gramEnd"/>
      <w:r w:rsidR="0054493C">
        <w:rPr>
          <w:rFonts w:ascii="Arial" w:eastAsia="Times New Roman" w:hAnsi="Arial" w:cs="Arial"/>
          <w:color w:val="000000"/>
          <w:sz w:val="20"/>
          <w:szCs w:val="20"/>
          <w:lang w:eastAsia="en-GB"/>
        </w:rPr>
        <w:t xml:space="preserve"> </w:t>
      </w:r>
      <w:r w:rsidR="0014731B">
        <w:rPr>
          <w:rFonts w:ascii="Arial" w:eastAsia="Times New Roman" w:hAnsi="Arial" w:cs="Arial"/>
          <w:color w:val="000000"/>
          <w:sz w:val="20"/>
          <w:szCs w:val="20"/>
          <w:lang w:eastAsia="en-GB"/>
        </w:rPr>
        <w:t>integration programmes</w:t>
      </w:r>
      <w:r w:rsidR="0054493C">
        <w:rPr>
          <w:rFonts w:ascii="Arial" w:eastAsia="Times New Roman" w:hAnsi="Arial" w:cs="Arial"/>
          <w:color w:val="000000"/>
          <w:sz w:val="20"/>
          <w:szCs w:val="20"/>
          <w:lang w:eastAsia="en-GB"/>
        </w:rPr>
        <w:t xml:space="preserve"> during the year</w:t>
      </w:r>
      <w:r w:rsidR="00116F1C">
        <w:rPr>
          <w:rFonts w:ascii="Arial" w:eastAsia="Times New Roman" w:hAnsi="Arial" w:cs="Arial"/>
          <w:color w:val="000000"/>
          <w:sz w:val="20"/>
          <w:szCs w:val="20"/>
          <w:lang w:eastAsia="en-GB"/>
        </w:rPr>
        <w:t xml:space="preserve"> and removed</w:t>
      </w:r>
      <w:r w:rsidR="00E72454">
        <w:rPr>
          <w:rFonts w:ascii="Arial" w:eastAsia="Times New Roman" w:hAnsi="Arial" w:cs="Arial"/>
          <w:color w:val="000000"/>
          <w:sz w:val="20"/>
          <w:szCs w:val="20"/>
          <w:lang w:eastAsia="en-GB"/>
        </w:rPr>
        <w:t xml:space="preserve"> </w:t>
      </w:r>
      <w:r w:rsidR="0014731B">
        <w:rPr>
          <w:rFonts w:ascii="Arial" w:eastAsia="Times New Roman" w:hAnsi="Arial" w:cs="Arial"/>
          <w:color w:val="000000"/>
          <w:sz w:val="20"/>
          <w:szCs w:val="20"/>
          <w:lang w:eastAsia="en-GB"/>
        </w:rPr>
        <w:t xml:space="preserve">124 </w:t>
      </w:r>
      <w:r w:rsidR="0054493C">
        <w:rPr>
          <w:rFonts w:ascii="Arial" w:eastAsia="Times New Roman" w:hAnsi="Arial" w:cs="Arial"/>
          <w:color w:val="000000"/>
          <w:sz w:val="20"/>
          <w:szCs w:val="20"/>
          <w:lang w:eastAsia="en-GB"/>
        </w:rPr>
        <w:t xml:space="preserve">duplicated </w:t>
      </w:r>
      <w:r w:rsidR="0014731B">
        <w:rPr>
          <w:rFonts w:ascii="Arial" w:eastAsia="Times New Roman" w:hAnsi="Arial" w:cs="Arial"/>
          <w:color w:val="000000"/>
          <w:sz w:val="20"/>
          <w:szCs w:val="20"/>
          <w:lang w:eastAsia="en-GB"/>
        </w:rPr>
        <w:t xml:space="preserve">roles, exited 5 premises and removed 10 </w:t>
      </w:r>
      <w:r w:rsidR="0054493C">
        <w:rPr>
          <w:rFonts w:ascii="Arial" w:eastAsia="Times New Roman" w:hAnsi="Arial" w:cs="Arial"/>
          <w:color w:val="000000"/>
          <w:sz w:val="20"/>
          <w:szCs w:val="20"/>
          <w:lang w:eastAsia="en-GB"/>
        </w:rPr>
        <w:t xml:space="preserve">legacy </w:t>
      </w:r>
      <w:r w:rsidR="00116F1C">
        <w:rPr>
          <w:rFonts w:ascii="Arial" w:eastAsia="Times New Roman" w:hAnsi="Arial" w:cs="Arial"/>
          <w:color w:val="000000"/>
          <w:sz w:val="20"/>
          <w:szCs w:val="20"/>
          <w:lang w:eastAsia="en-GB"/>
        </w:rPr>
        <w:t xml:space="preserve">systems from previous </w:t>
      </w:r>
      <w:r w:rsidR="0054493C">
        <w:rPr>
          <w:rFonts w:ascii="Arial" w:eastAsia="Times New Roman" w:hAnsi="Arial" w:cs="Arial"/>
          <w:color w:val="000000"/>
          <w:sz w:val="20"/>
          <w:szCs w:val="20"/>
          <w:lang w:eastAsia="en-GB"/>
        </w:rPr>
        <w:t xml:space="preserve">acquisitions. We are now coming to </w:t>
      </w:r>
      <w:r w:rsidR="00297C0C">
        <w:rPr>
          <w:rFonts w:ascii="Arial" w:eastAsia="Times New Roman" w:hAnsi="Arial" w:cs="Arial"/>
          <w:color w:val="000000"/>
          <w:sz w:val="20"/>
          <w:szCs w:val="20"/>
          <w:lang w:eastAsia="en-GB"/>
        </w:rPr>
        <w:t xml:space="preserve">the </w:t>
      </w:r>
      <w:r w:rsidR="0054493C">
        <w:rPr>
          <w:rFonts w:ascii="Arial" w:eastAsia="Times New Roman" w:hAnsi="Arial" w:cs="Arial"/>
          <w:color w:val="000000"/>
          <w:sz w:val="20"/>
          <w:szCs w:val="20"/>
          <w:lang w:eastAsia="en-GB"/>
        </w:rPr>
        <w:t xml:space="preserve">end of this process and expect integration expense </w:t>
      </w:r>
      <w:r w:rsidR="005B7186">
        <w:rPr>
          <w:rFonts w:ascii="Arial" w:eastAsia="Times New Roman" w:hAnsi="Arial" w:cs="Arial"/>
          <w:color w:val="000000"/>
          <w:sz w:val="20"/>
          <w:szCs w:val="20"/>
          <w:lang w:eastAsia="en-GB"/>
        </w:rPr>
        <w:t xml:space="preserve">to be </w:t>
      </w:r>
      <w:r w:rsidR="0054493C">
        <w:rPr>
          <w:rFonts w:ascii="Arial" w:eastAsia="Times New Roman" w:hAnsi="Arial" w:cs="Arial"/>
          <w:color w:val="000000"/>
          <w:sz w:val="20"/>
          <w:szCs w:val="20"/>
          <w:lang w:eastAsia="en-GB"/>
        </w:rPr>
        <w:t xml:space="preserve">concluded by 30 September 2024. </w:t>
      </w:r>
    </w:p>
    <w:p w14:paraId="108047F5" w14:textId="77777777" w:rsidR="0054493C" w:rsidRDefault="0054493C" w:rsidP="0014731B">
      <w:pPr>
        <w:spacing w:after="0" w:line="240" w:lineRule="auto"/>
        <w:jc w:val="both"/>
        <w:rPr>
          <w:rFonts w:ascii="Arial" w:hAnsi="Arial" w:cs="Arial"/>
          <w:sz w:val="20"/>
          <w:szCs w:val="20"/>
        </w:rPr>
      </w:pPr>
    </w:p>
    <w:p w14:paraId="5C3F6AE6" w14:textId="6C9534D9" w:rsidR="00F67D73" w:rsidRDefault="007C7DEA" w:rsidP="00B15B8F">
      <w:pPr>
        <w:spacing w:after="0" w:line="240" w:lineRule="auto"/>
        <w:jc w:val="both"/>
        <w:rPr>
          <w:rFonts w:ascii="Arial" w:hAnsi="Arial" w:cs="Arial"/>
          <w:sz w:val="20"/>
          <w:szCs w:val="20"/>
        </w:rPr>
      </w:pPr>
      <w:r>
        <w:rPr>
          <w:rFonts w:ascii="Arial" w:hAnsi="Arial" w:cs="Arial"/>
          <w:sz w:val="20"/>
          <w:szCs w:val="20"/>
        </w:rPr>
        <w:t xml:space="preserve">The Group </w:t>
      </w:r>
      <w:r w:rsidR="00411B94">
        <w:rPr>
          <w:rFonts w:ascii="Arial" w:hAnsi="Arial" w:cs="Arial"/>
          <w:sz w:val="20"/>
          <w:szCs w:val="20"/>
        </w:rPr>
        <w:t>appoint</w:t>
      </w:r>
      <w:r w:rsidR="0022182F">
        <w:rPr>
          <w:rFonts w:ascii="Arial" w:hAnsi="Arial" w:cs="Arial"/>
          <w:sz w:val="20"/>
          <w:szCs w:val="20"/>
        </w:rPr>
        <w:t xml:space="preserve">ed </w:t>
      </w:r>
      <w:r w:rsidR="0054493C">
        <w:rPr>
          <w:rFonts w:ascii="Arial" w:hAnsi="Arial" w:cs="Arial"/>
          <w:sz w:val="20"/>
          <w:szCs w:val="20"/>
        </w:rPr>
        <w:t>a</w:t>
      </w:r>
      <w:r>
        <w:rPr>
          <w:rFonts w:ascii="Arial" w:hAnsi="Arial" w:cs="Arial"/>
          <w:sz w:val="20"/>
          <w:szCs w:val="20"/>
        </w:rPr>
        <w:t xml:space="preserve"> new </w:t>
      </w:r>
      <w:r w:rsidR="0054493C">
        <w:rPr>
          <w:rFonts w:ascii="Arial" w:hAnsi="Arial" w:cs="Arial"/>
          <w:sz w:val="20"/>
          <w:szCs w:val="20"/>
        </w:rPr>
        <w:t xml:space="preserve">CEO of </w:t>
      </w:r>
      <w:r>
        <w:rPr>
          <w:rFonts w:ascii="Arial" w:hAnsi="Arial" w:cs="Arial"/>
          <w:sz w:val="20"/>
          <w:szCs w:val="20"/>
        </w:rPr>
        <w:t xml:space="preserve">the </w:t>
      </w:r>
      <w:r w:rsidR="0054493C">
        <w:rPr>
          <w:rFonts w:ascii="Arial" w:hAnsi="Arial" w:cs="Arial"/>
          <w:sz w:val="20"/>
          <w:szCs w:val="20"/>
        </w:rPr>
        <w:t>Water &amp; Air Hygiene division</w:t>
      </w:r>
      <w:r w:rsidR="00411B94">
        <w:rPr>
          <w:rFonts w:ascii="Arial" w:hAnsi="Arial" w:cs="Arial"/>
          <w:sz w:val="20"/>
          <w:szCs w:val="20"/>
        </w:rPr>
        <w:t xml:space="preserve"> in </w:t>
      </w:r>
      <w:r w:rsidR="00F55074">
        <w:rPr>
          <w:rFonts w:ascii="Arial" w:hAnsi="Arial" w:cs="Arial"/>
          <w:sz w:val="20"/>
          <w:szCs w:val="20"/>
        </w:rPr>
        <w:t>December 2023</w:t>
      </w:r>
      <w:r>
        <w:rPr>
          <w:rFonts w:ascii="Arial" w:hAnsi="Arial" w:cs="Arial"/>
          <w:sz w:val="20"/>
          <w:szCs w:val="20"/>
        </w:rPr>
        <w:t xml:space="preserve"> who brings </w:t>
      </w:r>
      <w:r w:rsidR="0054493C">
        <w:rPr>
          <w:rFonts w:ascii="Arial" w:hAnsi="Arial" w:cs="Arial"/>
          <w:sz w:val="20"/>
          <w:szCs w:val="20"/>
        </w:rPr>
        <w:t xml:space="preserve">a wealth of operational experience </w:t>
      </w:r>
      <w:r>
        <w:rPr>
          <w:rFonts w:ascii="Arial" w:hAnsi="Arial" w:cs="Arial"/>
          <w:sz w:val="20"/>
          <w:szCs w:val="20"/>
        </w:rPr>
        <w:t xml:space="preserve">having </w:t>
      </w:r>
      <w:r w:rsidR="0054493C">
        <w:rPr>
          <w:rFonts w:ascii="Arial" w:hAnsi="Arial" w:cs="Arial"/>
          <w:sz w:val="20"/>
          <w:szCs w:val="20"/>
        </w:rPr>
        <w:t xml:space="preserve">spent </w:t>
      </w:r>
      <w:r w:rsidR="00411B94">
        <w:rPr>
          <w:rFonts w:ascii="Arial" w:hAnsi="Arial" w:cs="Arial"/>
          <w:sz w:val="20"/>
          <w:szCs w:val="20"/>
        </w:rPr>
        <w:t xml:space="preserve">the </w:t>
      </w:r>
      <w:r w:rsidR="0054493C">
        <w:rPr>
          <w:rFonts w:ascii="Arial" w:hAnsi="Arial" w:cs="Arial"/>
          <w:sz w:val="20"/>
          <w:szCs w:val="20"/>
        </w:rPr>
        <w:t xml:space="preserve">three </w:t>
      </w:r>
      <w:r w:rsidR="00411B94">
        <w:rPr>
          <w:rFonts w:ascii="Arial" w:hAnsi="Arial" w:cs="Arial"/>
          <w:sz w:val="20"/>
          <w:szCs w:val="20"/>
        </w:rPr>
        <w:t xml:space="preserve">previous </w:t>
      </w:r>
      <w:r w:rsidR="0054493C">
        <w:rPr>
          <w:rFonts w:ascii="Arial" w:hAnsi="Arial" w:cs="Arial"/>
          <w:sz w:val="20"/>
          <w:szCs w:val="20"/>
        </w:rPr>
        <w:t>years as the division</w:t>
      </w:r>
      <w:r w:rsidR="00411B94">
        <w:rPr>
          <w:rFonts w:ascii="Arial" w:hAnsi="Arial" w:cs="Arial"/>
          <w:sz w:val="20"/>
          <w:szCs w:val="20"/>
        </w:rPr>
        <w:t xml:space="preserve">’s </w:t>
      </w:r>
      <w:r w:rsidR="0054493C">
        <w:rPr>
          <w:rFonts w:ascii="Arial" w:hAnsi="Arial" w:cs="Arial"/>
          <w:sz w:val="20"/>
          <w:szCs w:val="20"/>
        </w:rPr>
        <w:t xml:space="preserve">Chief Operating Officer. </w:t>
      </w:r>
      <w:r w:rsidR="002661E9">
        <w:rPr>
          <w:rFonts w:ascii="Arial" w:hAnsi="Arial" w:cs="Arial"/>
          <w:sz w:val="20"/>
          <w:szCs w:val="20"/>
        </w:rPr>
        <w:t>Since this</w:t>
      </w:r>
      <w:r w:rsidR="00411B94">
        <w:rPr>
          <w:rFonts w:ascii="Arial" w:hAnsi="Arial" w:cs="Arial"/>
          <w:sz w:val="20"/>
          <w:szCs w:val="20"/>
        </w:rPr>
        <w:t xml:space="preserve"> appointment</w:t>
      </w:r>
      <w:r w:rsidR="0022182F">
        <w:rPr>
          <w:rFonts w:ascii="Arial" w:hAnsi="Arial" w:cs="Arial"/>
          <w:sz w:val="20"/>
          <w:szCs w:val="20"/>
        </w:rPr>
        <w:t xml:space="preserve"> </w:t>
      </w:r>
      <w:r w:rsidR="00C6193D">
        <w:rPr>
          <w:rFonts w:ascii="Arial" w:hAnsi="Arial" w:cs="Arial"/>
          <w:sz w:val="20"/>
          <w:szCs w:val="20"/>
        </w:rPr>
        <w:t>we have</w:t>
      </w:r>
      <w:r w:rsidR="00C2597A">
        <w:rPr>
          <w:rFonts w:ascii="Arial" w:hAnsi="Arial" w:cs="Arial"/>
          <w:sz w:val="20"/>
          <w:szCs w:val="20"/>
        </w:rPr>
        <w:t xml:space="preserve"> been focusing on a</w:t>
      </w:r>
      <w:r w:rsidR="0022182F">
        <w:rPr>
          <w:rFonts w:ascii="Arial" w:hAnsi="Arial" w:cs="Arial"/>
          <w:sz w:val="20"/>
          <w:szCs w:val="20"/>
        </w:rPr>
        <w:t xml:space="preserve"> new </w:t>
      </w:r>
      <w:r w:rsidR="00C25B24">
        <w:rPr>
          <w:rFonts w:ascii="Arial" w:hAnsi="Arial" w:cs="Arial"/>
          <w:sz w:val="20"/>
          <w:szCs w:val="20"/>
        </w:rPr>
        <w:t>five-point</w:t>
      </w:r>
      <w:r w:rsidR="00411B94">
        <w:rPr>
          <w:rFonts w:ascii="Arial" w:hAnsi="Arial" w:cs="Arial"/>
          <w:sz w:val="20"/>
          <w:szCs w:val="20"/>
        </w:rPr>
        <w:t xml:space="preserve"> plan, </w:t>
      </w:r>
      <w:r w:rsidR="00C25B24">
        <w:rPr>
          <w:rFonts w:ascii="Arial" w:hAnsi="Arial" w:cs="Arial"/>
          <w:sz w:val="20"/>
          <w:szCs w:val="20"/>
        </w:rPr>
        <w:t>which aims to simplify the business, driv</w:t>
      </w:r>
      <w:r w:rsidR="00C6193D">
        <w:rPr>
          <w:rFonts w:ascii="Arial" w:hAnsi="Arial" w:cs="Arial"/>
          <w:sz w:val="20"/>
          <w:szCs w:val="20"/>
        </w:rPr>
        <w:t>e</w:t>
      </w:r>
      <w:r w:rsidR="00C25B24">
        <w:rPr>
          <w:rFonts w:ascii="Arial" w:hAnsi="Arial" w:cs="Arial"/>
          <w:sz w:val="20"/>
          <w:szCs w:val="20"/>
        </w:rPr>
        <w:t xml:space="preserve"> margins and improv</w:t>
      </w:r>
      <w:r w:rsidR="0022182F">
        <w:rPr>
          <w:rFonts w:ascii="Arial" w:hAnsi="Arial" w:cs="Arial"/>
          <w:sz w:val="20"/>
          <w:szCs w:val="20"/>
        </w:rPr>
        <w:t>e</w:t>
      </w:r>
      <w:r w:rsidR="00C25B24">
        <w:rPr>
          <w:rFonts w:ascii="Arial" w:hAnsi="Arial" w:cs="Arial"/>
          <w:sz w:val="20"/>
          <w:szCs w:val="20"/>
        </w:rPr>
        <w:t xml:space="preserve"> cash </w:t>
      </w:r>
      <w:r w:rsidR="00C90C55">
        <w:rPr>
          <w:rFonts w:ascii="Arial" w:hAnsi="Arial" w:cs="Arial"/>
          <w:sz w:val="20"/>
          <w:szCs w:val="20"/>
        </w:rPr>
        <w:t>generation</w:t>
      </w:r>
      <w:r w:rsidR="0022182F">
        <w:rPr>
          <w:rFonts w:ascii="Arial" w:hAnsi="Arial" w:cs="Arial"/>
          <w:sz w:val="20"/>
          <w:szCs w:val="20"/>
        </w:rPr>
        <w:t xml:space="preserve">. </w:t>
      </w:r>
      <w:r w:rsidR="00F55074">
        <w:rPr>
          <w:rFonts w:ascii="Arial" w:hAnsi="Arial" w:cs="Arial"/>
          <w:sz w:val="20"/>
          <w:szCs w:val="20"/>
        </w:rPr>
        <w:t>The business is already seeing strong margin improvements from the initiatives put in place.</w:t>
      </w:r>
    </w:p>
    <w:p w14:paraId="1EBD97C3" w14:textId="77777777" w:rsidR="0030239B" w:rsidRDefault="0030239B" w:rsidP="00B15B8F">
      <w:pPr>
        <w:spacing w:after="0" w:line="240" w:lineRule="auto"/>
        <w:jc w:val="both"/>
        <w:rPr>
          <w:rFonts w:ascii="Arial" w:hAnsi="Arial" w:cs="Arial"/>
          <w:sz w:val="20"/>
          <w:szCs w:val="20"/>
        </w:rPr>
      </w:pPr>
    </w:p>
    <w:p w14:paraId="5059B25A" w14:textId="7B86A07A" w:rsidR="00986CB5" w:rsidRDefault="00986CB5" w:rsidP="00986CB5">
      <w:pPr>
        <w:spacing w:after="0" w:line="240" w:lineRule="auto"/>
        <w:jc w:val="both"/>
        <w:rPr>
          <w:rFonts w:ascii="Arial" w:hAnsi="Arial" w:cs="Arial"/>
          <w:sz w:val="20"/>
          <w:szCs w:val="20"/>
        </w:rPr>
      </w:pPr>
      <w:r>
        <w:rPr>
          <w:rFonts w:ascii="Arial" w:hAnsi="Arial" w:cs="Arial"/>
          <w:sz w:val="20"/>
          <w:szCs w:val="20"/>
        </w:rPr>
        <w:t>As with Fire Safety &amp; Security, our integration process has led to better management information and therefore clearer visibility of the business, which in turn allows us to</w:t>
      </w:r>
      <w:r w:rsidR="00297C0C">
        <w:rPr>
          <w:rFonts w:ascii="Arial" w:hAnsi="Arial" w:cs="Arial"/>
          <w:sz w:val="20"/>
          <w:szCs w:val="20"/>
        </w:rPr>
        <w:t xml:space="preserve"> take</w:t>
      </w:r>
      <w:r>
        <w:rPr>
          <w:rFonts w:ascii="Arial" w:hAnsi="Arial" w:cs="Arial"/>
          <w:sz w:val="20"/>
          <w:szCs w:val="20"/>
        </w:rPr>
        <w:t xml:space="preserve"> more informed decisions and cost controls measures. </w:t>
      </w:r>
      <w:r w:rsidR="0022182F">
        <w:rPr>
          <w:rFonts w:ascii="Arial" w:hAnsi="Arial" w:cs="Arial"/>
          <w:sz w:val="20"/>
          <w:szCs w:val="20"/>
        </w:rPr>
        <w:t>Now that restructuring programme are concluding</w:t>
      </w:r>
      <w:r w:rsidR="00067F2F">
        <w:rPr>
          <w:rFonts w:ascii="Arial" w:hAnsi="Arial" w:cs="Arial"/>
          <w:sz w:val="20"/>
          <w:szCs w:val="20"/>
        </w:rPr>
        <w:t>,</w:t>
      </w:r>
      <w:r w:rsidR="0022182F">
        <w:rPr>
          <w:rFonts w:ascii="Arial" w:hAnsi="Arial" w:cs="Arial"/>
          <w:sz w:val="20"/>
          <w:szCs w:val="20"/>
        </w:rPr>
        <w:t xml:space="preserve"> the </w:t>
      </w:r>
      <w:r w:rsidR="00280775">
        <w:rPr>
          <w:rFonts w:ascii="Arial" w:hAnsi="Arial" w:cs="Arial"/>
          <w:sz w:val="20"/>
          <w:szCs w:val="20"/>
        </w:rPr>
        <w:t xml:space="preserve">near-term </w:t>
      </w:r>
      <w:r>
        <w:rPr>
          <w:rFonts w:ascii="Arial" w:hAnsi="Arial" w:cs="Arial"/>
          <w:sz w:val="20"/>
          <w:szCs w:val="20"/>
        </w:rPr>
        <w:t xml:space="preserve">strategy is </w:t>
      </w:r>
      <w:r w:rsidR="0022182F">
        <w:rPr>
          <w:rFonts w:ascii="Arial" w:hAnsi="Arial" w:cs="Arial"/>
          <w:sz w:val="20"/>
          <w:szCs w:val="20"/>
        </w:rPr>
        <w:t xml:space="preserve">to </w:t>
      </w:r>
      <w:r w:rsidR="000B5743">
        <w:rPr>
          <w:rFonts w:ascii="Arial" w:hAnsi="Arial" w:cs="Arial"/>
          <w:sz w:val="20"/>
          <w:szCs w:val="20"/>
        </w:rPr>
        <w:t xml:space="preserve">continue to </w:t>
      </w:r>
      <w:r w:rsidR="0022182F">
        <w:rPr>
          <w:rFonts w:ascii="Arial" w:hAnsi="Arial" w:cs="Arial"/>
          <w:sz w:val="20"/>
          <w:szCs w:val="20"/>
        </w:rPr>
        <w:t xml:space="preserve">implement </w:t>
      </w:r>
      <w:r>
        <w:rPr>
          <w:rFonts w:ascii="Arial" w:hAnsi="Arial" w:cs="Arial"/>
          <w:sz w:val="20"/>
          <w:szCs w:val="20"/>
        </w:rPr>
        <w:t xml:space="preserve">operational </w:t>
      </w:r>
      <w:r w:rsidR="0022182F">
        <w:rPr>
          <w:rFonts w:ascii="Arial" w:hAnsi="Arial" w:cs="Arial"/>
          <w:sz w:val="20"/>
          <w:szCs w:val="20"/>
        </w:rPr>
        <w:t>improvements and drive margins</w:t>
      </w:r>
      <w:r>
        <w:rPr>
          <w:rFonts w:ascii="Arial" w:hAnsi="Arial" w:cs="Arial"/>
          <w:sz w:val="20"/>
          <w:szCs w:val="20"/>
        </w:rPr>
        <w:t xml:space="preserve">.  </w:t>
      </w:r>
    </w:p>
    <w:p w14:paraId="0278759E" w14:textId="77777777" w:rsidR="00C25B24" w:rsidRPr="0077073D" w:rsidRDefault="00C25B24" w:rsidP="00986CB5">
      <w:pPr>
        <w:spacing w:after="0" w:line="240" w:lineRule="auto"/>
        <w:jc w:val="both"/>
        <w:rPr>
          <w:rFonts w:ascii="Arial" w:hAnsi="Arial" w:cs="Arial"/>
          <w:b/>
          <w:bCs/>
          <w:sz w:val="20"/>
          <w:szCs w:val="20"/>
        </w:rPr>
      </w:pPr>
    </w:p>
    <w:p w14:paraId="0597ACD5" w14:textId="6A6D3A99" w:rsidR="00AF71BE" w:rsidRDefault="00C25B24" w:rsidP="00986CB5">
      <w:pPr>
        <w:jc w:val="both"/>
        <w:rPr>
          <w:rFonts w:ascii="Arial" w:hAnsi="Arial" w:cs="Arial"/>
          <w:sz w:val="20"/>
          <w:szCs w:val="20"/>
        </w:rPr>
      </w:pPr>
      <w:r>
        <w:rPr>
          <w:rFonts w:ascii="Arial" w:hAnsi="Arial" w:cs="Arial"/>
          <w:sz w:val="20"/>
          <w:szCs w:val="20"/>
        </w:rPr>
        <w:t>Additionally, we are starting to see the</w:t>
      </w:r>
      <w:r w:rsidR="00C90C55">
        <w:rPr>
          <w:rFonts w:ascii="Arial" w:hAnsi="Arial" w:cs="Arial"/>
          <w:sz w:val="20"/>
          <w:szCs w:val="20"/>
        </w:rPr>
        <w:t xml:space="preserve"> full</w:t>
      </w:r>
      <w:r>
        <w:rPr>
          <w:rFonts w:ascii="Arial" w:hAnsi="Arial" w:cs="Arial"/>
          <w:sz w:val="20"/>
          <w:szCs w:val="20"/>
        </w:rPr>
        <w:t xml:space="preserve"> benefits of our </w:t>
      </w:r>
      <w:r w:rsidR="000678EC">
        <w:rPr>
          <w:rFonts w:ascii="Arial" w:hAnsi="Arial" w:cs="Arial"/>
          <w:sz w:val="20"/>
          <w:szCs w:val="20"/>
        </w:rPr>
        <w:t xml:space="preserve">proprietary </w:t>
      </w:r>
      <w:r w:rsidR="00C90C55">
        <w:rPr>
          <w:rFonts w:ascii="Arial" w:hAnsi="Arial" w:cs="Arial"/>
          <w:sz w:val="20"/>
          <w:szCs w:val="20"/>
        </w:rPr>
        <w:t>end-to-end ERP system</w:t>
      </w:r>
      <w:r w:rsidR="000678EC">
        <w:rPr>
          <w:rFonts w:ascii="Arial" w:hAnsi="Arial" w:cs="Arial"/>
          <w:sz w:val="20"/>
          <w:szCs w:val="20"/>
        </w:rPr>
        <w:t>, Wave, which was implemented last year</w:t>
      </w:r>
      <w:r>
        <w:rPr>
          <w:rFonts w:ascii="Arial" w:hAnsi="Arial" w:cs="Arial"/>
          <w:sz w:val="20"/>
          <w:szCs w:val="20"/>
        </w:rPr>
        <w:t>. Wave</w:t>
      </w:r>
      <w:r w:rsidR="000678EC">
        <w:rPr>
          <w:rFonts w:ascii="Arial" w:hAnsi="Arial" w:cs="Arial"/>
          <w:sz w:val="20"/>
          <w:szCs w:val="20"/>
        </w:rPr>
        <w:t xml:space="preserve"> is now delivering over half a million tasks per year </w:t>
      </w:r>
      <w:r w:rsidR="00411B94">
        <w:rPr>
          <w:rFonts w:ascii="Arial" w:hAnsi="Arial" w:cs="Arial"/>
          <w:sz w:val="20"/>
          <w:szCs w:val="20"/>
        </w:rPr>
        <w:t xml:space="preserve">which has further </w:t>
      </w:r>
      <w:r w:rsidR="005B7186">
        <w:rPr>
          <w:rFonts w:ascii="Arial" w:hAnsi="Arial" w:cs="Arial"/>
          <w:sz w:val="20"/>
          <w:szCs w:val="20"/>
        </w:rPr>
        <w:t xml:space="preserve">supported </w:t>
      </w:r>
      <w:r w:rsidR="00411B94">
        <w:rPr>
          <w:rFonts w:ascii="Arial" w:hAnsi="Arial" w:cs="Arial"/>
          <w:sz w:val="20"/>
          <w:szCs w:val="20"/>
        </w:rPr>
        <w:t>our market</w:t>
      </w:r>
      <w:r w:rsidR="00116F1C">
        <w:rPr>
          <w:rFonts w:ascii="Arial" w:hAnsi="Arial" w:cs="Arial"/>
          <w:sz w:val="20"/>
          <w:szCs w:val="20"/>
        </w:rPr>
        <w:t>-</w:t>
      </w:r>
      <w:r w:rsidR="00411B94">
        <w:rPr>
          <w:rFonts w:ascii="Arial" w:hAnsi="Arial" w:cs="Arial"/>
          <w:sz w:val="20"/>
          <w:szCs w:val="20"/>
        </w:rPr>
        <w:t xml:space="preserve">leading compliance rates and </w:t>
      </w:r>
      <w:r>
        <w:rPr>
          <w:rFonts w:ascii="Arial" w:hAnsi="Arial" w:cs="Arial"/>
          <w:sz w:val="20"/>
          <w:szCs w:val="20"/>
        </w:rPr>
        <w:t xml:space="preserve">when </w:t>
      </w:r>
      <w:r w:rsidR="00411B94">
        <w:rPr>
          <w:rFonts w:ascii="Arial" w:hAnsi="Arial" w:cs="Arial"/>
          <w:sz w:val="20"/>
          <w:szCs w:val="20"/>
        </w:rPr>
        <w:t>coupled with ou</w:t>
      </w:r>
      <w:r>
        <w:rPr>
          <w:rFonts w:ascii="Arial" w:hAnsi="Arial" w:cs="Arial"/>
          <w:sz w:val="20"/>
          <w:szCs w:val="20"/>
        </w:rPr>
        <w:t xml:space="preserve">r </w:t>
      </w:r>
      <w:r w:rsidR="00411B94">
        <w:rPr>
          <w:rFonts w:ascii="Arial" w:hAnsi="Arial" w:cs="Arial"/>
          <w:sz w:val="20"/>
          <w:szCs w:val="20"/>
        </w:rPr>
        <w:t>national scale</w:t>
      </w:r>
      <w:r w:rsidR="00116F1C">
        <w:rPr>
          <w:rFonts w:ascii="Arial" w:hAnsi="Arial" w:cs="Arial"/>
          <w:sz w:val="20"/>
          <w:szCs w:val="20"/>
        </w:rPr>
        <w:t>,</w:t>
      </w:r>
      <w:r w:rsidR="00411B94">
        <w:rPr>
          <w:rFonts w:ascii="Arial" w:hAnsi="Arial" w:cs="Arial"/>
          <w:sz w:val="20"/>
          <w:szCs w:val="20"/>
        </w:rPr>
        <w:t xml:space="preserve"> </w:t>
      </w:r>
      <w:r w:rsidR="004C57D3">
        <w:rPr>
          <w:rFonts w:ascii="Arial" w:hAnsi="Arial" w:cs="Arial"/>
          <w:sz w:val="20"/>
          <w:szCs w:val="20"/>
        </w:rPr>
        <w:t>allows us to deliver</w:t>
      </w:r>
      <w:r>
        <w:rPr>
          <w:rFonts w:ascii="Arial" w:hAnsi="Arial" w:cs="Arial"/>
          <w:sz w:val="20"/>
          <w:szCs w:val="20"/>
        </w:rPr>
        <w:t xml:space="preserve"> </w:t>
      </w:r>
      <w:r w:rsidR="00411B94">
        <w:rPr>
          <w:rFonts w:ascii="Arial" w:hAnsi="Arial" w:cs="Arial"/>
          <w:sz w:val="20"/>
          <w:szCs w:val="20"/>
        </w:rPr>
        <w:t xml:space="preserve">the same level of service across </w:t>
      </w:r>
      <w:r>
        <w:rPr>
          <w:rFonts w:ascii="Arial" w:hAnsi="Arial" w:cs="Arial"/>
          <w:sz w:val="20"/>
          <w:szCs w:val="20"/>
        </w:rPr>
        <w:t xml:space="preserve">all our clients </w:t>
      </w:r>
      <w:r w:rsidR="00F14C20">
        <w:rPr>
          <w:rFonts w:ascii="Arial" w:hAnsi="Arial" w:cs="Arial"/>
          <w:sz w:val="20"/>
          <w:szCs w:val="20"/>
        </w:rPr>
        <w:t xml:space="preserve">on a </w:t>
      </w:r>
      <w:proofErr w:type="gramStart"/>
      <w:r w:rsidR="00F14C20">
        <w:rPr>
          <w:rFonts w:ascii="Arial" w:hAnsi="Arial" w:cs="Arial"/>
          <w:sz w:val="20"/>
          <w:szCs w:val="20"/>
        </w:rPr>
        <w:t>National</w:t>
      </w:r>
      <w:proofErr w:type="gramEnd"/>
      <w:r w:rsidR="00F14C20">
        <w:rPr>
          <w:rFonts w:ascii="Arial" w:hAnsi="Arial" w:cs="Arial"/>
          <w:sz w:val="20"/>
          <w:szCs w:val="20"/>
        </w:rPr>
        <w:t xml:space="preserve"> scale. </w:t>
      </w:r>
    </w:p>
    <w:p w14:paraId="744075E6" w14:textId="77777777" w:rsidR="00F7782D" w:rsidRDefault="00F7782D" w:rsidP="000B5743">
      <w:pPr>
        <w:spacing w:after="0" w:line="240" w:lineRule="auto"/>
        <w:jc w:val="both"/>
        <w:rPr>
          <w:rFonts w:ascii="Arial" w:hAnsi="Arial" w:cs="Arial"/>
          <w:b/>
          <w:bCs/>
          <w:sz w:val="20"/>
          <w:szCs w:val="20"/>
        </w:rPr>
      </w:pPr>
    </w:p>
    <w:p w14:paraId="27901573" w14:textId="77777777" w:rsidR="00F7782D" w:rsidRDefault="00F7782D" w:rsidP="000B5743">
      <w:pPr>
        <w:spacing w:after="0" w:line="240" w:lineRule="auto"/>
        <w:jc w:val="both"/>
        <w:rPr>
          <w:rFonts w:ascii="Arial" w:hAnsi="Arial" w:cs="Arial"/>
          <w:b/>
          <w:bCs/>
          <w:sz w:val="20"/>
          <w:szCs w:val="20"/>
        </w:rPr>
      </w:pPr>
    </w:p>
    <w:p w14:paraId="4F33D8FF" w14:textId="77777777" w:rsidR="00F7782D" w:rsidRDefault="00F7782D" w:rsidP="000B5743">
      <w:pPr>
        <w:spacing w:after="0" w:line="240" w:lineRule="auto"/>
        <w:jc w:val="both"/>
        <w:rPr>
          <w:rFonts w:ascii="Arial" w:hAnsi="Arial" w:cs="Arial"/>
          <w:b/>
          <w:bCs/>
          <w:sz w:val="20"/>
          <w:szCs w:val="20"/>
        </w:rPr>
      </w:pPr>
    </w:p>
    <w:p w14:paraId="674BBCEF" w14:textId="77777777" w:rsidR="00F7782D" w:rsidRDefault="00F7782D" w:rsidP="000B5743">
      <w:pPr>
        <w:spacing w:after="0" w:line="240" w:lineRule="auto"/>
        <w:jc w:val="both"/>
        <w:rPr>
          <w:rFonts w:ascii="Arial" w:hAnsi="Arial" w:cs="Arial"/>
          <w:b/>
          <w:bCs/>
          <w:sz w:val="20"/>
          <w:szCs w:val="20"/>
        </w:rPr>
      </w:pPr>
    </w:p>
    <w:p w14:paraId="6B2CAA64" w14:textId="77777777" w:rsidR="00F7782D" w:rsidRDefault="00F7782D" w:rsidP="000B5743">
      <w:pPr>
        <w:spacing w:after="0" w:line="240" w:lineRule="auto"/>
        <w:jc w:val="both"/>
        <w:rPr>
          <w:rFonts w:ascii="Arial" w:hAnsi="Arial" w:cs="Arial"/>
          <w:b/>
          <w:bCs/>
          <w:sz w:val="20"/>
          <w:szCs w:val="20"/>
        </w:rPr>
      </w:pPr>
    </w:p>
    <w:p w14:paraId="3BB4703C" w14:textId="77777777" w:rsidR="00F7782D" w:rsidRDefault="00F7782D" w:rsidP="000B5743">
      <w:pPr>
        <w:spacing w:after="0" w:line="240" w:lineRule="auto"/>
        <w:jc w:val="both"/>
        <w:rPr>
          <w:rFonts w:ascii="Arial" w:hAnsi="Arial" w:cs="Arial"/>
          <w:b/>
          <w:bCs/>
          <w:sz w:val="20"/>
          <w:szCs w:val="20"/>
        </w:rPr>
      </w:pPr>
    </w:p>
    <w:p w14:paraId="6E608F9E" w14:textId="77777777" w:rsidR="00F7782D" w:rsidRDefault="00F7782D" w:rsidP="000B5743">
      <w:pPr>
        <w:spacing w:after="0" w:line="240" w:lineRule="auto"/>
        <w:jc w:val="both"/>
        <w:rPr>
          <w:rFonts w:ascii="Arial" w:hAnsi="Arial" w:cs="Arial"/>
          <w:b/>
          <w:bCs/>
          <w:sz w:val="20"/>
          <w:szCs w:val="20"/>
        </w:rPr>
      </w:pPr>
    </w:p>
    <w:p w14:paraId="12AD03C6" w14:textId="77777777" w:rsidR="0051500E" w:rsidRDefault="0051500E" w:rsidP="000B5743">
      <w:pPr>
        <w:spacing w:after="0" w:line="240" w:lineRule="auto"/>
        <w:jc w:val="both"/>
        <w:rPr>
          <w:rFonts w:ascii="Arial" w:hAnsi="Arial" w:cs="Arial"/>
          <w:b/>
          <w:bCs/>
          <w:sz w:val="20"/>
          <w:szCs w:val="20"/>
        </w:rPr>
      </w:pPr>
    </w:p>
    <w:p w14:paraId="53BD5D5F" w14:textId="77777777" w:rsidR="0051500E" w:rsidRDefault="0051500E" w:rsidP="000B5743">
      <w:pPr>
        <w:spacing w:after="0" w:line="240" w:lineRule="auto"/>
        <w:jc w:val="both"/>
        <w:rPr>
          <w:rFonts w:ascii="Arial" w:hAnsi="Arial" w:cs="Arial"/>
          <w:b/>
          <w:bCs/>
          <w:sz w:val="20"/>
          <w:szCs w:val="20"/>
        </w:rPr>
      </w:pPr>
    </w:p>
    <w:p w14:paraId="59E772FE" w14:textId="77777777" w:rsidR="0051500E" w:rsidRDefault="0051500E" w:rsidP="000B5743">
      <w:pPr>
        <w:spacing w:after="0" w:line="240" w:lineRule="auto"/>
        <w:jc w:val="both"/>
        <w:rPr>
          <w:rFonts w:ascii="Arial" w:hAnsi="Arial" w:cs="Arial"/>
          <w:b/>
          <w:bCs/>
          <w:sz w:val="20"/>
          <w:szCs w:val="20"/>
        </w:rPr>
      </w:pPr>
    </w:p>
    <w:p w14:paraId="0CB1B786" w14:textId="77777777" w:rsidR="00F7782D" w:rsidRDefault="00F7782D" w:rsidP="000B5743">
      <w:pPr>
        <w:spacing w:after="0" w:line="240" w:lineRule="auto"/>
        <w:jc w:val="both"/>
        <w:rPr>
          <w:rFonts w:ascii="Arial" w:hAnsi="Arial" w:cs="Arial"/>
          <w:b/>
          <w:bCs/>
          <w:sz w:val="20"/>
          <w:szCs w:val="20"/>
        </w:rPr>
      </w:pPr>
    </w:p>
    <w:p w14:paraId="6E10E88C" w14:textId="77777777" w:rsidR="00023130" w:rsidRDefault="00023130" w:rsidP="000B5743">
      <w:pPr>
        <w:spacing w:after="0" w:line="240" w:lineRule="auto"/>
        <w:jc w:val="both"/>
        <w:rPr>
          <w:rFonts w:ascii="Arial" w:hAnsi="Arial" w:cs="Arial"/>
          <w:b/>
          <w:bCs/>
          <w:sz w:val="20"/>
          <w:szCs w:val="20"/>
        </w:rPr>
      </w:pPr>
    </w:p>
    <w:p w14:paraId="1C3E6BE4" w14:textId="77777777" w:rsidR="00F7782D" w:rsidRDefault="00F7782D" w:rsidP="000B5743">
      <w:pPr>
        <w:spacing w:after="0" w:line="240" w:lineRule="auto"/>
        <w:jc w:val="both"/>
        <w:rPr>
          <w:rFonts w:ascii="Arial" w:hAnsi="Arial" w:cs="Arial"/>
          <w:b/>
          <w:bCs/>
          <w:sz w:val="20"/>
          <w:szCs w:val="20"/>
        </w:rPr>
      </w:pPr>
    </w:p>
    <w:p w14:paraId="4FC3E73B" w14:textId="77777777" w:rsidR="00F7782D" w:rsidRDefault="00F7782D" w:rsidP="000B5743">
      <w:pPr>
        <w:spacing w:after="0" w:line="240" w:lineRule="auto"/>
        <w:jc w:val="both"/>
        <w:rPr>
          <w:rFonts w:ascii="Arial" w:hAnsi="Arial" w:cs="Arial"/>
          <w:b/>
          <w:bCs/>
          <w:sz w:val="20"/>
          <w:szCs w:val="20"/>
        </w:rPr>
      </w:pPr>
    </w:p>
    <w:p w14:paraId="5C16A695" w14:textId="77777777" w:rsidR="00177EF6" w:rsidRDefault="00177EF6" w:rsidP="000B5743">
      <w:pPr>
        <w:spacing w:after="0" w:line="240" w:lineRule="auto"/>
        <w:jc w:val="both"/>
        <w:rPr>
          <w:rFonts w:ascii="Arial" w:hAnsi="Arial" w:cs="Arial"/>
          <w:b/>
          <w:bCs/>
          <w:sz w:val="20"/>
          <w:szCs w:val="20"/>
        </w:rPr>
      </w:pPr>
    </w:p>
    <w:p w14:paraId="583D001B" w14:textId="77777777" w:rsidR="00F7782D" w:rsidRDefault="00F7782D" w:rsidP="000B5743">
      <w:pPr>
        <w:spacing w:after="0" w:line="240" w:lineRule="auto"/>
        <w:jc w:val="both"/>
        <w:rPr>
          <w:rFonts w:ascii="Arial" w:hAnsi="Arial" w:cs="Arial"/>
          <w:b/>
          <w:bCs/>
          <w:sz w:val="20"/>
          <w:szCs w:val="20"/>
        </w:rPr>
      </w:pPr>
    </w:p>
    <w:p w14:paraId="4E1A5087" w14:textId="77777777" w:rsidR="00F7782D" w:rsidRDefault="00F7782D" w:rsidP="000B5743">
      <w:pPr>
        <w:spacing w:after="0" w:line="240" w:lineRule="auto"/>
        <w:jc w:val="both"/>
        <w:rPr>
          <w:rFonts w:ascii="Arial" w:hAnsi="Arial" w:cs="Arial"/>
          <w:b/>
          <w:bCs/>
          <w:sz w:val="20"/>
          <w:szCs w:val="20"/>
        </w:rPr>
      </w:pPr>
    </w:p>
    <w:p w14:paraId="70C6B1FB" w14:textId="77777777" w:rsidR="00F7782D" w:rsidRDefault="00F7782D" w:rsidP="000B5743">
      <w:pPr>
        <w:spacing w:after="0" w:line="240" w:lineRule="auto"/>
        <w:jc w:val="both"/>
        <w:rPr>
          <w:rFonts w:ascii="Arial" w:hAnsi="Arial" w:cs="Arial"/>
          <w:b/>
          <w:bCs/>
          <w:sz w:val="20"/>
          <w:szCs w:val="20"/>
        </w:rPr>
      </w:pPr>
    </w:p>
    <w:p w14:paraId="671A6936" w14:textId="77777777" w:rsidR="00F7782D" w:rsidRDefault="00F7782D" w:rsidP="000B5743">
      <w:pPr>
        <w:spacing w:after="0" w:line="240" w:lineRule="auto"/>
        <w:jc w:val="both"/>
        <w:rPr>
          <w:rFonts w:ascii="Arial" w:hAnsi="Arial" w:cs="Arial"/>
          <w:b/>
          <w:bCs/>
          <w:sz w:val="20"/>
          <w:szCs w:val="20"/>
        </w:rPr>
      </w:pPr>
    </w:p>
    <w:p w14:paraId="2A933D17" w14:textId="77777777" w:rsidR="00F7782D" w:rsidRDefault="00F7782D" w:rsidP="000B5743">
      <w:pPr>
        <w:spacing w:after="0" w:line="240" w:lineRule="auto"/>
        <w:jc w:val="both"/>
        <w:rPr>
          <w:rFonts w:ascii="Arial" w:hAnsi="Arial" w:cs="Arial"/>
          <w:b/>
          <w:bCs/>
          <w:sz w:val="20"/>
          <w:szCs w:val="20"/>
        </w:rPr>
      </w:pPr>
    </w:p>
    <w:p w14:paraId="0DA5242C" w14:textId="77777777" w:rsidR="00F43E64" w:rsidRDefault="00F43E64" w:rsidP="000B5743">
      <w:pPr>
        <w:spacing w:after="0" w:line="240" w:lineRule="auto"/>
        <w:jc w:val="both"/>
        <w:rPr>
          <w:rFonts w:ascii="Arial" w:hAnsi="Arial" w:cs="Arial"/>
          <w:b/>
          <w:bCs/>
          <w:sz w:val="20"/>
          <w:szCs w:val="20"/>
        </w:rPr>
      </w:pPr>
    </w:p>
    <w:p w14:paraId="4CF5F911" w14:textId="44BE61EB" w:rsidR="000B5743" w:rsidRPr="00811359" w:rsidRDefault="000B5743" w:rsidP="000B5743">
      <w:pPr>
        <w:spacing w:after="0" w:line="240" w:lineRule="auto"/>
        <w:jc w:val="both"/>
        <w:rPr>
          <w:rFonts w:ascii="Arial" w:hAnsi="Arial" w:cs="Arial"/>
          <w:b/>
          <w:bCs/>
          <w:sz w:val="20"/>
          <w:szCs w:val="20"/>
        </w:rPr>
      </w:pPr>
      <w:r>
        <w:rPr>
          <w:rFonts w:ascii="Arial" w:hAnsi="Arial" w:cs="Arial"/>
          <w:b/>
          <w:bCs/>
          <w:sz w:val="20"/>
          <w:szCs w:val="20"/>
        </w:rPr>
        <w:lastRenderedPageBreak/>
        <w:t>Occupational Health</w:t>
      </w:r>
    </w:p>
    <w:p w14:paraId="1360ED9A" w14:textId="77777777" w:rsidR="000B5743" w:rsidRPr="0077073D" w:rsidRDefault="000B5743" w:rsidP="000B5743">
      <w:pPr>
        <w:spacing w:after="0" w:line="240" w:lineRule="auto"/>
        <w:jc w:val="both"/>
        <w:rPr>
          <w:rFonts w:ascii="Arial" w:hAnsi="Arial" w:cs="Arial"/>
          <w:b/>
          <w:bCs/>
          <w:sz w:val="20"/>
          <w:szCs w:val="20"/>
        </w:rPr>
      </w:pPr>
    </w:p>
    <w:p w14:paraId="0887DA0E" w14:textId="77777777" w:rsidR="000B5743" w:rsidRPr="0077073D" w:rsidRDefault="000B5743" w:rsidP="000B5743">
      <w:pPr>
        <w:spacing w:after="0" w:line="240" w:lineRule="auto"/>
        <w:jc w:val="both"/>
        <w:rPr>
          <w:rFonts w:ascii="Arial" w:hAnsi="Arial" w:cs="Arial"/>
          <w:i/>
          <w:iCs/>
          <w:sz w:val="20"/>
          <w:szCs w:val="20"/>
        </w:rPr>
      </w:pPr>
      <w:r w:rsidRPr="001246F0">
        <w:rPr>
          <w:rFonts w:ascii="Arial" w:hAnsi="Arial" w:cs="Arial"/>
          <w:sz w:val="20"/>
          <w:szCs w:val="20"/>
        </w:rPr>
        <w:t>We are the UK leader in the occupational health and wellbeing sector. We assure regulatory compliance for our clients, improving the health &amp; wellbeing of their employees, minimising workplace risk and maximising corporate productivity.</w:t>
      </w:r>
    </w:p>
    <w:tbl>
      <w:tblPr>
        <w:tblStyle w:val="TableGrid"/>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1530"/>
        <w:gridCol w:w="1536"/>
        <w:gridCol w:w="1536"/>
        <w:gridCol w:w="1536"/>
      </w:tblGrid>
      <w:tr w:rsidR="000B5743" w:rsidRPr="0077073D" w14:paraId="486654F7" w14:textId="77777777" w:rsidTr="00C435EB">
        <w:trPr>
          <w:gridAfter w:val="4"/>
          <w:wAfter w:w="6138" w:type="dxa"/>
          <w:trHeight w:val="227"/>
        </w:trPr>
        <w:tc>
          <w:tcPr>
            <w:tcW w:w="3572" w:type="dxa"/>
          </w:tcPr>
          <w:p w14:paraId="5EC50BE6" w14:textId="77777777" w:rsidR="000B5743" w:rsidRPr="0077073D" w:rsidRDefault="000B5743" w:rsidP="00C435EB">
            <w:pPr>
              <w:jc w:val="both"/>
              <w:rPr>
                <w:rFonts w:ascii="Arial" w:hAnsi="Arial" w:cs="Arial"/>
                <w:sz w:val="20"/>
                <w:szCs w:val="20"/>
              </w:rPr>
            </w:pPr>
            <w:bookmarkStart w:id="6" w:name="_Hlk88065684"/>
          </w:p>
        </w:tc>
      </w:tr>
      <w:bookmarkEnd w:id="6"/>
      <w:tr w:rsidR="000B5743" w:rsidRPr="0077073D" w14:paraId="10F2DF19" w14:textId="77777777" w:rsidTr="00C435EB">
        <w:trPr>
          <w:trHeight w:val="340"/>
        </w:trPr>
        <w:tc>
          <w:tcPr>
            <w:tcW w:w="5102" w:type="dxa"/>
            <w:gridSpan w:val="2"/>
          </w:tcPr>
          <w:p w14:paraId="18D65C7A" w14:textId="77777777" w:rsidR="000B5743" w:rsidRPr="0077073D" w:rsidRDefault="000B5743" w:rsidP="00C435EB">
            <w:pPr>
              <w:jc w:val="both"/>
              <w:rPr>
                <w:rFonts w:ascii="Arial" w:hAnsi="Arial" w:cs="Arial"/>
                <w:sz w:val="20"/>
                <w:szCs w:val="20"/>
              </w:rPr>
            </w:pPr>
          </w:p>
        </w:tc>
        <w:tc>
          <w:tcPr>
            <w:tcW w:w="1536" w:type="dxa"/>
            <w:vMerge w:val="restart"/>
            <w:vAlign w:val="bottom"/>
          </w:tcPr>
          <w:p w14:paraId="72A67881" w14:textId="77777777" w:rsidR="000B5743" w:rsidRPr="0077073D" w:rsidRDefault="000B5743" w:rsidP="00C435EB">
            <w:pPr>
              <w:rPr>
                <w:rFonts w:ascii="Arial" w:hAnsi="Arial" w:cs="Arial"/>
                <w:b/>
                <w:bCs/>
                <w:sz w:val="20"/>
                <w:szCs w:val="20"/>
              </w:rPr>
            </w:pPr>
            <w:r w:rsidRPr="0077073D">
              <w:rPr>
                <w:rFonts w:ascii="Arial" w:hAnsi="Arial" w:cs="Arial"/>
                <w:b/>
                <w:bCs/>
                <w:sz w:val="20"/>
                <w:szCs w:val="20"/>
              </w:rPr>
              <w:t>FY2</w:t>
            </w:r>
            <w:r>
              <w:rPr>
                <w:rFonts w:ascii="Arial" w:hAnsi="Arial" w:cs="Arial"/>
                <w:b/>
                <w:bCs/>
                <w:sz w:val="20"/>
                <w:szCs w:val="20"/>
              </w:rPr>
              <w:t>4</w:t>
            </w:r>
          </w:p>
          <w:p w14:paraId="7769D1F0" w14:textId="77777777" w:rsidR="000B5743" w:rsidRPr="0077073D" w:rsidRDefault="000B5743" w:rsidP="00C435EB">
            <w:pPr>
              <w:rPr>
                <w:rFonts w:ascii="Arial" w:hAnsi="Arial" w:cs="Arial"/>
                <w:b/>
                <w:bCs/>
                <w:sz w:val="20"/>
                <w:szCs w:val="20"/>
              </w:rPr>
            </w:pPr>
            <w:r w:rsidRPr="0077073D">
              <w:rPr>
                <w:rFonts w:ascii="Arial" w:hAnsi="Arial" w:cs="Arial"/>
                <w:b/>
                <w:bCs/>
                <w:sz w:val="20"/>
                <w:szCs w:val="20"/>
              </w:rPr>
              <w:t>£m</w:t>
            </w:r>
          </w:p>
        </w:tc>
        <w:tc>
          <w:tcPr>
            <w:tcW w:w="1536" w:type="dxa"/>
            <w:vMerge w:val="restart"/>
            <w:vAlign w:val="bottom"/>
          </w:tcPr>
          <w:p w14:paraId="31A7E5BD" w14:textId="77777777" w:rsidR="000B5743" w:rsidRPr="0077073D" w:rsidRDefault="000B5743" w:rsidP="00C435EB">
            <w:pPr>
              <w:rPr>
                <w:rFonts w:ascii="Arial" w:hAnsi="Arial" w:cs="Arial"/>
                <w:b/>
                <w:bCs/>
                <w:sz w:val="20"/>
                <w:szCs w:val="20"/>
              </w:rPr>
            </w:pPr>
            <w:r w:rsidRPr="0077073D">
              <w:rPr>
                <w:rFonts w:ascii="Arial" w:hAnsi="Arial" w:cs="Arial"/>
                <w:b/>
                <w:bCs/>
                <w:sz w:val="20"/>
                <w:szCs w:val="20"/>
              </w:rPr>
              <w:t>FY2</w:t>
            </w:r>
            <w:r>
              <w:rPr>
                <w:rFonts w:ascii="Arial" w:hAnsi="Arial" w:cs="Arial"/>
                <w:b/>
                <w:bCs/>
                <w:sz w:val="20"/>
                <w:szCs w:val="20"/>
              </w:rPr>
              <w:t>3</w:t>
            </w:r>
          </w:p>
          <w:p w14:paraId="11255FC0" w14:textId="77777777" w:rsidR="000B5743" w:rsidRPr="0077073D" w:rsidRDefault="000B5743" w:rsidP="00C435EB">
            <w:pPr>
              <w:rPr>
                <w:rFonts w:ascii="Arial" w:hAnsi="Arial" w:cs="Arial"/>
                <w:b/>
                <w:bCs/>
                <w:sz w:val="20"/>
                <w:szCs w:val="20"/>
              </w:rPr>
            </w:pPr>
            <w:r w:rsidRPr="0077073D">
              <w:rPr>
                <w:rFonts w:ascii="Arial" w:hAnsi="Arial" w:cs="Arial"/>
                <w:b/>
                <w:bCs/>
                <w:sz w:val="20"/>
                <w:szCs w:val="20"/>
              </w:rPr>
              <w:t>£m</w:t>
            </w:r>
          </w:p>
        </w:tc>
        <w:tc>
          <w:tcPr>
            <w:tcW w:w="1536" w:type="dxa"/>
            <w:vMerge w:val="restart"/>
            <w:vAlign w:val="bottom"/>
          </w:tcPr>
          <w:p w14:paraId="61D7054A" w14:textId="77777777" w:rsidR="000B5743" w:rsidRPr="0077073D" w:rsidRDefault="000B5743" w:rsidP="00C435EB">
            <w:pPr>
              <w:rPr>
                <w:rFonts w:ascii="Arial" w:hAnsi="Arial" w:cs="Arial"/>
                <w:b/>
                <w:bCs/>
                <w:sz w:val="20"/>
                <w:szCs w:val="20"/>
              </w:rPr>
            </w:pPr>
            <w:r w:rsidRPr="0077073D">
              <w:rPr>
                <w:rFonts w:ascii="Arial" w:hAnsi="Arial" w:cs="Arial"/>
                <w:b/>
                <w:bCs/>
                <w:sz w:val="20"/>
                <w:szCs w:val="20"/>
              </w:rPr>
              <w:t>Change</w:t>
            </w:r>
          </w:p>
        </w:tc>
      </w:tr>
      <w:tr w:rsidR="000B5743" w:rsidRPr="0077073D" w14:paraId="55B19C99" w14:textId="77777777" w:rsidTr="00C435EB">
        <w:tc>
          <w:tcPr>
            <w:tcW w:w="5102" w:type="dxa"/>
            <w:gridSpan w:val="2"/>
            <w:tcBorders>
              <w:bottom w:val="single" w:sz="4" w:space="0" w:color="auto"/>
            </w:tcBorders>
          </w:tcPr>
          <w:p w14:paraId="5065752F" w14:textId="77777777" w:rsidR="000B5743" w:rsidRPr="0077073D" w:rsidRDefault="000B5743" w:rsidP="00C435EB">
            <w:pPr>
              <w:jc w:val="both"/>
              <w:rPr>
                <w:rFonts w:ascii="Arial" w:hAnsi="Arial" w:cs="Arial"/>
                <w:sz w:val="20"/>
                <w:szCs w:val="20"/>
              </w:rPr>
            </w:pPr>
          </w:p>
        </w:tc>
        <w:tc>
          <w:tcPr>
            <w:tcW w:w="1536" w:type="dxa"/>
            <w:vMerge/>
            <w:tcBorders>
              <w:bottom w:val="single" w:sz="4" w:space="0" w:color="auto"/>
            </w:tcBorders>
          </w:tcPr>
          <w:p w14:paraId="5F4D6144" w14:textId="77777777" w:rsidR="000B5743" w:rsidRPr="0077073D" w:rsidRDefault="000B5743" w:rsidP="00C435EB">
            <w:pPr>
              <w:jc w:val="both"/>
              <w:rPr>
                <w:rFonts w:ascii="Arial" w:hAnsi="Arial" w:cs="Arial"/>
                <w:b/>
                <w:bCs/>
                <w:sz w:val="20"/>
                <w:szCs w:val="20"/>
              </w:rPr>
            </w:pPr>
          </w:p>
        </w:tc>
        <w:tc>
          <w:tcPr>
            <w:tcW w:w="1536" w:type="dxa"/>
            <w:vMerge/>
            <w:tcBorders>
              <w:bottom w:val="single" w:sz="4" w:space="0" w:color="auto"/>
            </w:tcBorders>
          </w:tcPr>
          <w:p w14:paraId="36995BB3" w14:textId="77777777" w:rsidR="000B5743" w:rsidRPr="0077073D" w:rsidRDefault="000B5743" w:rsidP="00C435EB">
            <w:pPr>
              <w:jc w:val="both"/>
              <w:rPr>
                <w:rFonts w:ascii="Arial" w:hAnsi="Arial" w:cs="Arial"/>
                <w:sz w:val="20"/>
                <w:szCs w:val="20"/>
              </w:rPr>
            </w:pPr>
          </w:p>
        </w:tc>
        <w:tc>
          <w:tcPr>
            <w:tcW w:w="1536" w:type="dxa"/>
            <w:vMerge/>
            <w:tcBorders>
              <w:bottom w:val="single" w:sz="4" w:space="0" w:color="auto"/>
            </w:tcBorders>
          </w:tcPr>
          <w:p w14:paraId="345FAE61" w14:textId="77777777" w:rsidR="000B5743" w:rsidRPr="0077073D" w:rsidRDefault="000B5743" w:rsidP="00C435EB">
            <w:pPr>
              <w:jc w:val="both"/>
              <w:rPr>
                <w:rFonts w:ascii="Arial" w:hAnsi="Arial" w:cs="Arial"/>
                <w:sz w:val="20"/>
                <w:szCs w:val="20"/>
              </w:rPr>
            </w:pPr>
          </w:p>
        </w:tc>
      </w:tr>
      <w:tr w:rsidR="000B5743" w:rsidRPr="0077073D" w14:paraId="098FA547" w14:textId="77777777" w:rsidTr="00C435EB">
        <w:tc>
          <w:tcPr>
            <w:tcW w:w="5102" w:type="dxa"/>
            <w:gridSpan w:val="2"/>
            <w:tcBorders>
              <w:top w:val="single" w:sz="4" w:space="0" w:color="auto"/>
            </w:tcBorders>
          </w:tcPr>
          <w:p w14:paraId="19D17FDD" w14:textId="77777777" w:rsidR="000B5743" w:rsidRPr="0077073D" w:rsidRDefault="000B5743" w:rsidP="00C435EB">
            <w:pPr>
              <w:jc w:val="both"/>
              <w:rPr>
                <w:rFonts w:ascii="Arial" w:hAnsi="Arial" w:cs="Arial"/>
                <w:sz w:val="20"/>
                <w:szCs w:val="20"/>
              </w:rPr>
            </w:pPr>
            <w:r w:rsidRPr="0077073D">
              <w:rPr>
                <w:rFonts w:ascii="Arial" w:hAnsi="Arial" w:cs="Arial"/>
                <w:sz w:val="20"/>
                <w:szCs w:val="20"/>
              </w:rPr>
              <w:t>Revenue</w:t>
            </w:r>
          </w:p>
        </w:tc>
        <w:tc>
          <w:tcPr>
            <w:tcW w:w="1536" w:type="dxa"/>
            <w:tcBorders>
              <w:top w:val="single" w:sz="4" w:space="0" w:color="auto"/>
            </w:tcBorders>
          </w:tcPr>
          <w:p w14:paraId="1522F271" w14:textId="568A1891" w:rsidR="000B5743" w:rsidRPr="0077073D" w:rsidRDefault="00135B77" w:rsidP="00C435EB">
            <w:pPr>
              <w:jc w:val="both"/>
              <w:rPr>
                <w:rFonts w:ascii="Arial" w:hAnsi="Arial" w:cs="Arial"/>
                <w:sz w:val="20"/>
                <w:szCs w:val="20"/>
              </w:rPr>
            </w:pPr>
            <w:r>
              <w:rPr>
                <w:rFonts w:ascii="Arial" w:hAnsi="Arial" w:cs="Arial"/>
                <w:sz w:val="20"/>
                <w:szCs w:val="20"/>
              </w:rPr>
              <w:t>£11</w:t>
            </w:r>
            <w:r w:rsidR="00C0758F">
              <w:rPr>
                <w:rFonts w:ascii="Arial" w:hAnsi="Arial" w:cs="Arial"/>
                <w:sz w:val="20"/>
                <w:szCs w:val="20"/>
              </w:rPr>
              <w:t>0</w:t>
            </w:r>
            <w:r w:rsidR="009A70F6">
              <w:rPr>
                <w:rFonts w:ascii="Arial" w:hAnsi="Arial" w:cs="Arial"/>
                <w:sz w:val="20"/>
                <w:szCs w:val="20"/>
              </w:rPr>
              <w:t>.</w:t>
            </w:r>
            <w:r w:rsidR="00C0758F">
              <w:rPr>
                <w:rFonts w:ascii="Arial" w:hAnsi="Arial" w:cs="Arial"/>
                <w:sz w:val="20"/>
                <w:szCs w:val="20"/>
              </w:rPr>
              <w:t>6</w:t>
            </w:r>
            <w:r>
              <w:rPr>
                <w:rFonts w:ascii="Arial" w:hAnsi="Arial" w:cs="Arial"/>
                <w:sz w:val="20"/>
                <w:szCs w:val="20"/>
              </w:rPr>
              <w:t>m</w:t>
            </w:r>
          </w:p>
        </w:tc>
        <w:tc>
          <w:tcPr>
            <w:tcW w:w="1536" w:type="dxa"/>
            <w:tcBorders>
              <w:top w:val="single" w:sz="4" w:space="0" w:color="auto"/>
            </w:tcBorders>
          </w:tcPr>
          <w:p w14:paraId="78BB9285" w14:textId="699BD54B" w:rsidR="000B5743" w:rsidRPr="0077073D" w:rsidRDefault="00135B77" w:rsidP="00C435EB">
            <w:pPr>
              <w:jc w:val="both"/>
              <w:rPr>
                <w:rFonts w:ascii="Arial" w:hAnsi="Arial" w:cs="Arial"/>
                <w:sz w:val="20"/>
                <w:szCs w:val="20"/>
              </w:rPr>
            </w:pPr>
            <w:r>
              <w:rPr>
                <w:rFonts w:ascii="Arial" w:hAnsi="Arial" w:cs="Arial"/>
                <w:sz w:val="20"/>
                <w:szCs w:val="20"/>
              </w:rPr>
              <w:t>£11</w:t>
            </w:r>
            <w:r w:rsidR="00C0758F">
              <w:rPr>
                <w:rFonts w:ascii="Arial" w:hAnsi="Arial" w:cs="Arial"/>
                <w:sz w:val="20"/>
                <w:szCs w:val="20"/>
              </w:rPr>
              <w:t>5</w:t>
            </w:r>
            <w:r>
              <w:rPr>
                <w:rFonts w:ascii="Arial" w:hAnsi="Arial" w:cs="Arial"/>
                <w:sz w:val="20"/>
                <w:szCs w:val="20"/>
              </w:rPr>
              <w:t>.</w:t>
            </w:r>
            <w:r w:rsidR="00C0758F">
              <w:rPr>
                <w:rFonts w:ascii="Arial" w:hAnsi="Arial" w:cs="Arial"/>
                <w:sz w:val="20"/>
                <w:szCs w:val="20"/>
              </w:rPr>
              <w:t>6</w:t>
            </w:r>
            <w:r>
              <w:rPr>
                <w:rFonts w:ascii="Arial" w:hAnsi="Arial" w:cs="Arial"/>
                <w:sz w:val="20"/>
                <w:szCs w:val="20"/>
              </w:rPr>
              <w:t>m</w:t>
            </w:r>
          </w:p>
        </w:tc>
        <w:tc>
          <w:tcPr>
            <w:tcW w:w="1536" w:type="dxa"/>
            <w:tcBorders>
              <w:top w:val="single" w:sz="4" w:space="0" w:color="auto"/>
            </w:tcBorders>
          </w:tcPr>
          <w:p w14:paraId="4EF0DE5E" w14:textId="17323334" w:rsidR="000B5743" w:rsidRPr="0077073D" w:rsidRDefault="00135B77" w:rsidP="00C435EB">
            <w:pPr>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4)%</w:t>
            </w:r>
            <w:proofErr w:type="gramEnd"/>
          </w:p>
        </w:tc>
      </w:tr>
      <w:tr w:rsidR="000B5743" w:rsidRPr="0077073D" w14:paraId="09E2ED25" w14:textId="77777777" w:rsidTr="00C435EB">
        <w:tc>
          <w:tcPr>
            <w:tcW w:w="5102" w:type="dxa"/>
            <w:gridSpan w:val="2"/>
          </w:tcPr>
          <w:p w14:paraId="66C44233" w14:textId="56BF46B7" w:rsidR="000B5743" w:rsidRPr="0077073D" w:rsidRDefault="000B5743" w:rsidP="00C435EB">
            <w:pPr>
              <w:jc w:val="both"/>
              <w:rPr>
                <w:rFonts w:ascii="Arial" w:hAnsi="Arial" w:cs="Arial"/>
                <w:sz w:val="20"/>
                <w:szCs w:val="20"/>
              </w:rPr>
            </w:pPr>
            <w:r w:rsidRPr="0077073D">
              <w:rPr>
                <w:rFonts w:ascii="Arial" w:hAnsi="Arial" w:cs="Arial"/>
                <w:sz w:val="20"/>
                <w:szCs w:val="20"/>
              </w:rPr>
              <w:t>Adjusted EBITDA</w:t>
            </w:r>
            <w:r w:rsidRPr="0077073D">
              <w:rPr>
                <w:rStyle w:val="ads"/>
                <w:rFonts w:ascii="Arial" w:eastAsia="Times New Roman" w:hAnsi="Arial" w:cs="Arial"/>
                <w:color w:val="000000"/>
                <w:sz w:val="20"/>
                <w:szCs w:val="20"/>
                <w:vertAlign w:val="superscript"/>
              </w:rPr>
              <w:t>1,2</w:t>
            </w:r>
            <w:r w:rsidRPr="0077073D">
              <w:rPr>
                <w:rFonts w:ascii="Arial" w:hAnsi="Arial" w:cs="Arial"/>
                <w:sz w:val="20"/>
                <w:szCs w:val="20"/>
              </w:rPr>
              <w:t xml:space="preserve"> </w:t>
            </w:r>
          </w:p>
        </w:tc>
        <w:tc>
          <w:tcPr>
            <w:tcW w:w="1536" w:type="dxa"/>
          </w:tcPr>
          <w:p w14:paraId="122C7B37" w14:textId="702ABF30" w:rsidR="000B5743" w:rsidRPr="0077073D" w:rsidRDefault="00135B77" w:rsidP="00C435EB">
            <w:pPr>
              <w:jc w:val="both"/>
              <w:rPr>
                <w:rFonts w:ascii="Arial" w:hAnsi="Arial" w:cs="Arial"/>
                <w:sz w:val="20"/>
                <w:szCs w:val="20"/>
              </w:rPr>
            </w:pPr>
            <w:r>
              <w:rPr>
                <w:rFonts w:ascii="Arial" w:hAnsi="Arial" w:cs="Arial"/>
                <w:sz w:val="20"/>
                <w:szCs w:val="20"/>
              </w:rPr>
              <w:t>£18.1m</w:t>
            </w:r>
          </w:p>
        </w:tc>
        <w:tc>
          <w:tcPr>
            <w:tcW w:w="1536" w:type="dxa"/>
          </w:tcPr>
          <w:p w14:paraId="4F7FBAE8" w14:textId="791BF1D1" w:rsidR="000B5743" w:rsidRPr="0077073D" w:rsidRDefault="00135B77" w:rsidP="00C435EB">
            <w:pPr>
              <w:jc w:val="both"/>
              <w:rPr>
                <w:rFonts w:ascii="Arial" w:hAnsi="Arial" w:cs="Arial"/>
                <w:sz w:val="20"/>
                <w:szCs w:val="20"/>
              </w:rPr>
            </w:pPr>
            <w:r>
              <w:rPr>
                <w:rFonts w:ascii="Arial" w:hAnsi="Arial" w:cs="Arial"/>
                <w:sz w:val="20"/>
                <w:szCs w:val="20"/>
              </w:rPr>
              <w:t>£2</w:t>
            </w:r>
            <w:r w:rsidR="009A70F6">
              <w:rPr>
                <w:rFonts w:ascii="Arial" w:hAnsi="Arial" w:cs="Arial"/>
                <w:sz w:val="20"/>
                <w:szCs w:val="20"/>
              </w:rPr>
              <w:t>2.0</w:t>
            </w:r>
            <w:r>
              <w:rPr>
                <w:rFonts w:ascii="Arial" w:hAnsi="Arial" w:cs="Arial"/>
                <w:sz w:val="20"/>
                <w:szCs w:val="20"/>
              </w:rPr>
              <w:t>m</w:t>
            </w:r>
          </w:p>
        </w:tc>
        <w:tc>
          <w:tcPr>
            <w:tcW w:w="1536" w:type="dxa"/>
          </w:tcPr>
          <w:p w14:paraId="72322C85" w14:textId="4018E127" w:rsidR="000B5743" w:rsidRPr="0077073D" w:rsidRDefault="00135B77" w:rsidP="00C435EB">
            <w:pPr>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9A70F6">
              <w:rPr>
                <w:rFonts w:ascii="Arial" w:hAnsi="Arial" w:cs="Arial"/>
                <w:sz w:val="20"/>
                <w:szCs w:val="20"/>
              </w:rPr>
              <w:t>8</w:t>
            </w:r>
            <w:r>
              <w:rPr>
                <w:rFonts w:ascii="Arial" w:hAnsi="Arial" w:cs="Arial"/>
                <w:sz w:val="20"/>
                <w:szCs w:val="20"/>
              </w:rPr>
              <w:t>)%</w:t>
            </w:r>
            <w:proofErr w:type="gramEnd"/>
          </w:p>
        </w:tc>
      </w:tr>
      <w:tr w:rsidR="000B5743" w:rsidRPr="0077073D" w14:paraId="474B9299" w14:textId="77777777" w:rsidTr="00C435EB">
        <w:tc>
          <w:tcPr>
            <w:tcW w:w="5102" w:type="dxa"/>
            <w:gridSpan w:val="2"/>
          </w:tcPr>
          <w:p w14:paraId="61B05D9C" w14:textId="15EAAB49" w:rsidR="000B5743" w:rsidRPr="0077073D" w:rsidRDefault="000B5743" w:rsidP="00C435EB">
            <w:pPr>
              <w:jc w:val="both"/>
              <w:rPr>
                <w:rFonts w:ascii="Arial" w:hAnsi="Arial" w:cs="Arial"/>
                <w:sz w:val="20"/>
                <w:szCs w:val="20"/>
              </w:rPr>
            </w:pPr>
            <w:r w:rsidRPr="0077073D">
              <w:rPr>
                <w:rFonts w:ascii="Arial" w:hAnsi="Arial" w:cs="Arial"/>
                <w:sz w:val="20"/>
                <w:szCs w:val="20"/>
              </w:rPr>
              <w:t>Adjusted operating profit</w:t>
            </w:r>
            <w:r w:rsidRPr="0077073D">
              <w:rPr>
                <w:rStyle w:val="ads"/>
                <w:rFonts w:ascii="Arial" w:eastAsia="Times New Roman" w:hAnsi="Arial" w:cs="Arial"/>
                <w:color w:val="000000"/>
                <w:sz w:val="20"/>
                <w:szCs w:val="20"/>
                <w:vertAlign w:val="superscript"/>
              </w:rPr>
              <w:t>2</w:t>
            </w:r>
          </w:p>
        </w:tc>
        <w:tc>
          <w:tcPr>
            <w:tcW w:w="1536" w:type="dxa"/>
          </w:tcPr>
          <w:p w14:paraId="46041A37" w14:textId="253D4AB0" w:rsidR="000B5743" w:rsidRPr="0077073D" w:rsidRDefault="00135B77" w:rsidP="00C435EB">
            <w:pPr>
              <w:jc w:val="both"/>
              <w:rPr>
                <w:rFonts w:ascii="Arial" w:hAnsi="Arial" w:cs="Arial"/>
                <w:sz w:val="20"/>
                <w:szCs w:val="20"/>
              </w:rPr>
            </w:pPr>
            <w:r>
              <w:rPr>
                <w:rFonts w:ascii="Arial" w:hAnsi="Arial" w:cs="Arial"/>
                <w:sz w:val="20"/>
                <w:szCs w:val="20"/>
              </w:rPr>
              <w:t>£13.6m</w:t>
            </w:r>
          </w:p>
        </w:tc>
        <w:tc>
          <w:tcPr>
            <w:tcW w:w="1536" w:type="dxa"/>
          </w:tcPr>
          <w:p w14:paraId="266E8314" w14:textId="15826352" w:rsidR="000B5743" w:rsidRPr="0077073D" w:rsidRDefault="00135B77" w:rsidP="00C435EB">
            <w:pPr>
              <w:jc w:val="both"/>
              <w:rPr>
                <w:rFonts w:ascii="Arial" w:hAnsi="Arial" w:cs="Arial"/>
                <w:sz w:val="20"/>
                <w:szCs w:val="20"/>
              </w:rPr>
            </w:pPr>
            <w:r>
              <w:rPr>
                <w:rFonts w:ascii="Arial" w:hAnsi="Arial" w:cs="Arial"/>
                <w:sz w:val="20"/>
                <w:szCs w:val="20"/>
              </w:rPr>
              <w:t>£1</w:t>
            </w:r>
            <w:r w:rsidR="009A70F6">
              <w:rPr>
                <w:rFonts w:ascii="Arial" w:hAnsi="Arial" w:cs="Arial"/>
                <w:sz w:val="20"/>
                <w:szCs w:val="20"/>
              </w:rPr>
              <w:t>8.0</w:t>
            </w:r>
            <w:r>
              <w:rPr>
                <w:rFonts w:ascii="Arial" w:hAnsi="Arial" w:cs="Arial"/>
                <w:sz w:val="20"/>
                <w:szCs w:val="20"/>
              </w:rPr>
              <w:t>m</w:t>
            </w:r>
          </w:p>
        </w:tc>
        <w:tc>
          <w:tcPr>
            <w:tcW w:w="1536" w:type="dxa"/>
          </w:tcPr>
          <w:p w14:paraId="78A75A99" w14:textId="46290593" w:rsidR="000B5743" w:rsidRPr="0077073D" w:rsidRDefault="00135B77" w:rsidP="00C435EB">
            <w:pPr>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9A70F6">
              <w:rPr>
                <w:rFonts w:ascii="Arial" w:hAnsi="Arial" w:cs="Arial"/>
                <w:sz w:val="20"/>
                <w:szCs w:val="20"/>
              </w:rPr>
              <w:t>4</w:t>
            </w:r>
            <w:r>
              <w:rPr>
                <w:rFonts w:ascii="Arial" w:hAnsi="Arial" w:cs="Arial"/>
                <w:sz w:val="20"/>
                <w:szCs w:val="20"/>
              </w:rPr>
              <w:t>)%</w:t>
            </w:r>
            <w:proofErr w:type="gramEnd"/>
          </w:p>
        </w:tc>
      </w:tr>
      <w:tr w:rsidR="000B5743" w:rsidRPr="0077073D" w14:paraId="4BAA35CB" w14:textId="77777777" w:rsidTr="00C435EB">
        <w:tc>
          <w:tcPr>
            <w:tcW w:w="5102" w:type="dxa"/>
            <w:gridSpan w:val="2"/>
            <w:tcBorders>
              <w:bottom w:val="single" w:sz="4" w:space="0" w:color="auto"/>
            </w:tcBorders>
          </w:tcPr>
          <w:p w14:paraId="3943CA87" w14:textId="5C997F98" w:rsidR="000B5743" w:rsidRPr="0077073D" w:rsidRDefault="000B5743" w:rsidP="00C435EB">
            <w:pPr>
              <w:jc w:val="both"/>
              <w:rPr>
                <w:rFonts w:ascii="Arial" w:eastAsia="Times New Roman" w:hAnsi="Arial" w:cs="Arial"/>
                <w:color w:val="000000"/>
                <w:sz w:val="20"/>
                <w:szCs w:val="20"/>
                <w:vertAlign w:val="superscript"/>
              </w:rPr>
            </w:pPr>
            <w:r w:rsidRPr="0077073D">
              <w:rPr>
                <w:rFonts w:ascii="Arial" w:hAnsi="Arial" w:cs="Arial"/>
                <w:i/>
                <w:iCs/>
                <w:sz w:val="20"/>
                <w:szCs w:val="20"/>
              </w:rPr>
              <w:t>Adjusted EBITDA margin</w:t>
            </w:r>
            <w:r w:rsidRPr="0077073D">
              <w:rPr>
                <w:rStyle w:val="ads"/>
                <w:rFonts w:ascii="Arial" w:eastAsia="Times New Roman" w:hAnsi="Arial" w:cs="Arial"/>
                <w:color w:val="000000"/>
                <w:sz w:val="20"/>
                <w:szCs w:val="20"/>
                <w:vertAlign w:val="superscript"/>
              </w:rPr>
              <w:t>1,2</w:t>
            </w:r>
          </w:p>
        </w:tc>
        <w:tc>
          <w:tcPr>
            <w:tcW w:w="1536" w:type="dxa"/>
            <w:tcBorders>
              <w:bottom w:val="single" w:sz="4" w:space="0" w:color="auto"/>
            </w:tcBorders>
          </w:tcPr>
          <w:p w14:paraId="78BD79CD" w14:textId="0308CC3A" w:rsidR="000B5743" w:rsidRPr="0077073D" w:rsidRDefault="00135B77" w:rsidP="00C435EB">
            <w:pPr>
              <w:jc w:val="both"/>
              <w:rPr>
                <w:rFonts w:ascii="Arial" w:hAnsi="Arial" w:cs="Arial"/>
                <w:i/>
                <w:iCs/>
                <w:sz w:val="20"/>
                <w:szCs w:val="20"/>
              </w:rPr>
            </w:pPr>
            <w:r>
              <w:rPr>
                <w:rFonts w:ascii="Arial" w:hAnsi="Arial" w:cs="Arial"/>
                <w:i/>
                <w:iCs/>
                <w:sz w:val="20"/>
                <w:szCs w:val="20"/>
              </w:rPr>
              <w:t>16.</w:t>
            </w:r>
            <w:r w:rsidR="00796385">
              <w:rPr>
                <w:rFonts w:ascii="Arial" w:hAnsi="Arial" w:cs="Arial"/>
                <w:i/>
                <w:iCs/>
                <w:sz w:val="20"/>
                <w:szCs w:val="20"/>
              </w:rPr>
              <w:t>4</w:t>
            </w:r>
            <w:r>
              <w:rPr>
                <w:rFonts w:ascii="Arial" w:hAnsi="Arial" w:cs="Arial"/>
                <w:i/>
                <w:iCs/>
                <w:sz w:val="20"/>
                <w:szCs w:val="20"/>
              </w:rPr>
              <w:t>%</w:t>
            </w:r>
          </w:p>
        </w:tc>
        <w:tc>
          <w:tcPr>
            <w:tcW w:w="1536" w:type="dxa"/>
            <w:tcBorders>
              <w:bottom w:val="single" w:sz="4" w:space="0" w:color="auto"/>
            </w:tcBorders>
          </w:tcPr>
          <w:p w14:paraId="17F6A8BC" w14:textId="31B69E62" w:rsidR="000B5743" w:rsidRPr="0077073D" w:rsidRDefault="00135B77" w:rsidP="00C435EB">
            <w:pPr>
              <w:jc w:val="both"/>
              <w:rPr>
                <w:rFonts w:ascii="Arial" w:hAnsi="Arial" w:cs="Arial"/>
                <w:i/>
                <w:iCs/>
                <w:sz w:val="20"/>
                <w:szCs w:val="20"/>
              </w:rPr>
            </w:pPr>
            <w:r>
              <w:rPr>
                <w:rFonts w:ascii="Arial" w:hAnsi="Arial" w:cs="Arial"/>
                <w:i/>
                <w:iCs/>
                <w:sz w:val="20"/>
                <w:szCs w:val="20"/>
              </w:rPr>
              <w:t>1</w:t>
            </w:r>
            <w:r w:rsidR="00796385">
              <w:rPr>
                <w:rFonts w:ascii="Arial" w:hAnsi="Arial" w:cs="Arial"/>
                <w:i/>
                <w:iCs/>
                <w:sz w:val="20"/>
                <w:szCs w:val="20"/>
              </w:rPr>
              <w:t>9.0</w:t>
            </w:r>
            <w:r>
              <w:rPr>
                <w:rFonts w:ascii="Arial" w:hAnsi="Arial" w:cs="Arial"/>
                <w:i/>
                <w:iCs/>
                <w:sz w:val="20"/>
                <w:szCs w:val="20"/>
              </w:rPr>
              <w:t>%</w:t>
            </w:r>
          </w:p>
        </w:tc>
        <w:tc>
          <w:tcPr>
            <w:tcW w:w="1536" w:type="dxa"/>
            <w:tcBorders>
              <w:bottom w:val="single" w:sz="4" w:space="0" w:color="auto"/>
            </w:tcBorders>
          </w:tcPr>
          <w:p w14:paraId="6CB3E021" w14:textId="78D379C2" w:rsidR="000B5743" w:rsidRPr="00F72BA1" w:rsidRDefault="00796385" w:rsidP="00C435EB">
            <w:pPr>
              <w:jc w:val="both"/>
              <w:rPr>
                <w:rFonts w:ascii="Arial" w:hAnsi="Arial" w:cs="Arial"/>
                <w:i/>
                <w:iCs/>
                <w:sz w:val="20"/>
                <w:szCs w:val="20"/>
              </w:rPr>
            </w:pPr>
            <w:r w:rsidRPr="00F72BA1">
              <w:rPr>
                <w:rFonts w:ascii="Arial" w:hAnsi="Arial" w:cs="Arial"/>
                <w:i/>
                <w:iCs/>
                <w:sz w:val="20"/>
                <w:szCs w:val="20"/>
              </w:rPr>
              <w:t>(</w:t>
            </w:r>
            <w:proofErr w:type="gramStart"/>
            <w:r w:rsidRPr="00F72BA1">
              <w:rPr>
                <w:rFonts w:ascii="Arial" w:hAnsi="Arial" w:cs="Arial"/>
                <w:i/>
                <w:iCs/>
                <w:sz w:val="20"/>
                <w:szCs w:val="20"/>
              </w:rPr>
              <w:t>260)bps</w:t>
            </w:r>
            <w:proofErr w:type="gramEnd"/>
          </w:p>
        </w:tc>
      </w:tr>
    </w:tbl>
    <w:p w14:paraId="5BDE847C" w14:textId="77777777" w:rsidR="000B5743" w:rsidRPr="00811359" w:rsidRDefault="000B5743" w:rsidP="000B5743">
      <w:pPr>
        <w:spacing w:after="0" w:line="253" w:lineRule="atLeast"/>
        <w:rPr>
          <w:rFonts w:ascii="Arial" w:eastAsia="Times New Roman" w:hAnsi="Arial" w:cs="Arial"/>
          <w:i/>
          <w:iCs/>
          <w:color w:val="000000"/>
          <w:sz w:val="20"/>
          <w:szCs w:val="20"/>
          <w:lang w:eastAsia="en-GB"/>
        </w:rPr>
      </w:pPr>
      <w:proofErr w:type="gramStart"/>
      <w:r w:rsidRPr="0077073D">
        <w:rPr>
          <w:rStyle w:val="ads"/>
          <w:rFonts w:ascii="Arial" w:eastAsia="Times New Roman" w:hAnsi="Arial" w:cs="Arial"/>
          <w:color w:val="000000"/>
          <w:sz w:val="20"/>
          <w:szCs w:val="20"/>
          <w:vertAlign w:val="superscript"/>
          <w:lang w:eastAsia="en-GB"/>
        </w:rPr>
        <w:t xml:space="preserve">1  </w:t>
      </w:r>
      <w:r w:rsidRPr="00811359">
        <w:rPr>
          <w:rFonts w:ascii="Arial" w:eastAsia="Times New Roman" w:hAnsi="Arial" w:cs="Arial"/>
          <w:i/>
          <w:iCs/>
          <w:color w:val="000000"/>
          <w:sz w:val="20"/>
          <w:szCs w:val="20"/>
          <w:lang w:eastAsia="en-GB"/>
        </w:rPr>
        <w:t>Earnings</w:t>
      </w:r>
      <w:proofErr w:type="gramEnd"/>
      <w:r w:rsidRPr="00811359">
        <w:rPr>
          <w:rFonts w:ascii="Arial" w:eastAsia="Times New Roman" w:hAnsi="Arial" w:cs="Arial"/>
          <w:i/>
          <w:iCs/>
          <w:color w:val="000000"/>
          <w:sz w:val="20"/>
          <w:szCs w:val="20"/>
          <w:lang w:eastAsia="en-GB"/>
        </w:rPr>
        <w:t xml:space="preserve"> before interest, taxes, depreciation and amortisation (“EBITDA”)</w:t>
      </w:r>
    </w:p>
    <w:p w14:paraId="028D7DCA" w14:textId="6A18E2EE" w:rsidR="000B5743" w:rsidRDefault="000B5743" w:rsidP="000B5743">
      <w:pPr>
        <w:spacing w:after="0" w:line="253" w:lineRule="atLeast"/>
        <w:rPr>
          <w:rFonts w:ascii="Arial" w:eastAsia="Times New Roman" w:hAnsi="Arial" w:cs="Arial"/>
          <w:i/>
          <w:iCs/>
          <w:color w:val="000000"/>
          <w:sz w:val="20"/>
          <w:szCs w:val="20"/>
          <w:lang w:eastAsia="en-GB"/>
        </w:rPr>
      </w:pPr>
      <w:r w:rsidRPr="0077073D">
        <w:rPr>
          <w:rFonts w:ascii="Arial" w:eastAsia="Times New Roman" w:hAnsi="Arial" w:cs="Arial"/>
          <w:i/>
          <w:iCs/>
          <w:color w:val="000000"/>
          <w:sz w:val="20"/>
          <w:szCs w:val="20"/>
          <w:vertAlign w:val="superscript"/>
          <w:lang w:eastAsia="en-GB"/>
        </w:rPr>
        <w:t xml:space="preserve">2 </w:t>
      </w:r>
      <w:r w:rsidRPr="00811359">
        <w:rPr>
          <w:rFonts w:ascii="Arial" w:eastAsia="Times New Roman" w:hAnsi="Arial" w:cs="Arial"/>
          <w:i/>
          <w:iCs/>
          <w:color w:val="000000"/>
          <w:sz w:val="20"/>
          <w:szCs w:val="20"/>
          <w:lang w:eastAsia="en-GB"/>
        </w:rPr>
        <w:t xml:space="preserve">Explanation of non-IFRS measures are contained within the </w:t>
      </w:r>
      <w:r w:rsidR="00E42501">
        <w:rPr>
          <w:rFonts w:ascii="Arial" w:eastAsia="Times New Roman" w:hAnsi="Arial" w:cs="Arial"/>
          <w:i/>
          <w:iCs/>
          <w:color w:val="000000"/>
          <w:sz w:val="20"/>
          <w:szCs w:val="20"/>
          <w:lang w:eastAsia="en-GB"/>
        </w:rPr>
        <w:t>Financial Review</w:t>
      </w:r>
      <w:r w:rsidR="00684F69">
        <w:rPr>
          <w:rFonts w:ascii="Arial" w:eastAsia="Times New Roman" w:hAnsi="Arial" w:cs="Arial"/>
          <w:i/>
          <w:iCs/>
          <w:color w:val="000000"/>
          <w:sz w:val="20"/>
          <w:szCs w:val="20"/>
          <w:lang w:eastAsia="en-GB"/>
        </w:rPr>
        <w:t xml:space="preserve"> and note 2</w:t>
      </w:r>
    </w:p>
    <w:p w14:paraId="091F61B6" w14:textId="77777777" w:rsidR="000B5743" w:rsidRPr="0077073D" w:rsidRDefault="000B5743" w:rsidP="000B5743">
      <w:pPr>
        <w:jc w:val="both"/>
        <w:rPr>
          <w:rFonts w:ascii="Arial" w:hAnsi="Arial" w:cs="Arial"/>
          <w:vanish/>
          <w:sz w:val="20"/>
          <w:szCs w:val="20"/>
        </w:rPr>
      </w:pPr>
    </w:p>
    <w:p w14:paraId="13F446DC" w14:textId="77777777" w:rsidR="000B5743" w:rsidRPr="0077073D" w:rsidRDefault="000B5743" w:rsidP="000B5743">
      <w:pPr>
        <w:pStyle w:val="aea"/>
        <w:spacing w:before="0" w:beforeAutospacing="0" w:after="0" w:afterAutospacing="0"/>
        <w:jc w:val="both"/>
        <w:rPr>
          <w:rStyle w:val="ads"/>
          <w:rFonts w:ascii="Arial" w:hAnsi="Arial" w:cs="Arial"/>
          <w:b/>
          <w:bCs/>
          <w:color w:val="000000"/>
          <w:sz w:val="20"/>
          <w:szCs w:val="20"/>
        </w:rPr>
      </w:pPr>
    </w:p>
    <w:p w14:paraId="1D4F11D3" w14:textId="69992CDE" w:rsidR="000B5743" w:rsidRDefault="0077760B" w:rsidP="000B5743">
      <w:pPr>
        <w:pStyle w:val="aea"/>
        <w:spacing w:before="0" w:beforeAutospacing="0" w:after="0" w:afterAutospacing="0"/>
        <w:jc w:val="both"/>
        <w:rPr>
          <w:rStyle w:val="ads"/>
          <w:rFonts w:ascii="Arial" w:hAnsi="Arial" w:cs="Arial"/>
          <w:b/>
          <w:bCs/>
          <w:color w:val="000000"/>
          <w:sz w:val="20"/>
          <w:szCs w:val="20"/>
        </w:rPr>
      </w:pPr>
      <w:r>
        <w:rPr>
          <w:rStyle w:val="ads"/>
          <w:rFonts w:ascii="Arial" w:hAnsi="Arial" w:cs="Arial"/>
          <w:b/>
          <w:bCs/>
          <w:color w:val="000000"/>
          <w:sz w:val="20"/>
          <w:szCs w:val="20"/>
        </w:rPr>
        <w:t>Performance</w:t>
      </w:r>
      <w:r w:rsidRPr="00811359">
        <w:rPr>
          <w:rStyle w:val="ads"/>
          <w:rFonts w:ascii="Arial" w:hAnsi="Arial" w:cs="Arial"/>
          <w:b/>
          <w:bCs/>
          <w:color w:val="000000"/>
          <w:sz w:val="20"/>
          <w:szCs w:val="20"/>
        </w:rPr>
        <w:t xml:space="preserve"> </w:t>
      </w:r>
      <w:r w:rsidR="000B5743" w:rsidRPr="00811359">
        <w:rPr>
          <w:rStyle w:val="ads"/>
          <w:rFonts w:ascii="Arial" w:hAnsi="Arial" w:cs="Arial"/>
          <w:b/>
          <w:bCs/>
          <w:color w:val="000000"/>
          <w:sz w:val="20"/>
          <w:szCs w:val="20"/>
        </w:rPr>
        <w:t xml:space="preserve">Review </w:t>
      </w:r>
    </w:p>
    <w:p w14:paraId="7D6B80D0" w14:textId="77777777" w:rsidR="000B5743" w:rsidRDefault="000B5743" w:rsidP="000B5743">
      <w:pPr>
        <w:pStyle w:val="aea"/>
        <w:spacing w:before="0" w:beforeAutospacing="0" w:after="0" w:afterAutospacing="0"/>
        <w:jc w:val="both"/>
        <w:rPr>
          <w:rStyle w:val="ads"/>
          <w:rFonts w:ascii="Arial" w:hAnsi="Arial" w:cs="Arial"/>
          <w:b/>
          <w:bCs/>
          <w:color w:val="000000"/>
          <w:sz w:val="20"/>
          <w:szCs w:val="20"/>
        </w:rPr>
      </w:pPr>
    </w:p>
    <w:p w14:paraId="203993C1" w14:textId="71B11C3C" w:rsidR="000B5743" w:rsidRDefault="000B5743" w:rsidP="000B5743">
      <w:pPr>
        <w:pStyle w:val="aea"/>
        <w:spacing w:before="0" w:beforeAutospacing="0" w:after="0" w:afterAutospacing="0"/>
        <w:jc w:val="both"/>
        <w:rPr>
          <w:rStyle w:val="ads"/>
          <w:rFonts w:ascii="Arial" w:hAnsi="Arial" w:cs="Arial"/>
          <w:color w:val="000000"/>
          <w:sz w:val="20"/>
          <w:szCs w:val="20"/>
        </w:rPr>
      </w:pPr>
      <w:r>
        <w:rPr>
          <w:rStyle w:val="ads"/>
          <w:rFonts w:ascii="Arial" w:hAnsi="Arial" w:cs="Arial"/>
          <w:color w:val="000000"/>
          <w:sz w:val="20"/>
          <w:szCs w:val="20"/>
        </w:rPr>
        <w:t xml:space="preserve">Revenue was down </w:t>
      </w:r>
      <w:r w:rsidR="00135B77">
        <w:rPr>
          <w:rStyle w:val="ads"/>
          <w:rFonts w:ascii="Arial" w:hAnsi="Arial" w:cs="Arial"/>
          <w:color w:val="000000"/>
          <w:sz w:val="20"/>
          <w:szCs w:val="20"/>
        </w:rPr>
        <w:t>4</w:t>
      </w:r>
      <w:r>
        <w:rPr>
          <w:rStyle w:val="ads"/>
          <w:rFonts w:ascii="Arial" w:hAnsi="Arial" w:cs="Arial"/>
          <w:color w:val="000000"/>
          <w:sz w:val="20"/>
          <w:szCs w:val="20"/>
        </w:rPr>
        <w:t>% following the</w:t>
      </w:r>
      <w:r w:rsidR="007A42A4">
        <w:rPr>
          <w:rStyle w:val="ads"/>
          <w:rFonts w:ascii="Arial" w:hAnsi="Arial" w:cs="Arial"/>
          <w:color w:val="000000"/>
          <w:sz w:val="20"/>
          <w:szCs w:val="20"/>
        </w:rPr>
        <w:t xml:space="preserve"> impact</w:t>
      </w:r>
      <w:r w:rsidR="00930402">
        <w:rPr>
          <w:rStyle w:val="ads"/>
          <w:rFonts w:ascii="Arial" w:hAnsi="Arial" w:cs="Arial"/>
          <w:color w:val="000000"/>
          <w:sz w:val="20"/>
          <w:szCs w:val="20"/>
        </w:rPr>
        <w:t xml:space="preserve"> </w:t>
      </w:r>
      <w:r w:rsidR="000352CF">
        <w:rPr>
          <w:rStyle w:val="ads"/>
          <w:rFonts w:ascii="Arial" w:hAnsi="Arial" w:cs="Arial"/>
          <w:color w:val="000000"/>
          <w:sz w:val="20"/>
          <w:szCs w:val="20"/>
        </w:rPr>
        <w:t>of the</w:t>
      </w:r>
      <w:r w:rsidRPr="006650F4">
        <w:rPr>
          <w:rStyle w:val="ads"/>
          <w:rFonts w:ascii="Arial" w:hAnsi="Arial" w:cs="Arial"/>
          <w:color w:val="000000"/>
          <w:sz w:val="20"/>
          <w:szCs w:val="20"/>
        </w:rPr>
        <w:t xml:space="preserve"> </w:t>
      </w:r>
      <w:r w:rsidR="00C9346D">
        <w:rPr>
          <w:rStyle w:val="ads"/>
          <w:rFonts w:ascii="Arial" w:hAnsi="Arial" w:cs="Arial"/>
          <w:color w:val="000000"/>
          <w:sz w:val="20"/>
          <w:szCs w:val="20"/>
        </w:rPr>
        <w:t xml:space="preserve">loss </w:t>
      </w:r>
      <w:r w:rsidR="003201F2">
        <w:rPr>
          <w:rStyle w:val="ads"/>
          <w:rFonts w:ascii="Arial" w:hAnsi="Arial" w:cs="Arial"/>
          <w:color w:val="000000"/>
          <w:sz w:val="20"/>
          <w:szCs w:val="20"/>
        </w:rPr>
        <w:t xml:space="preserve">of </w:t>
      </w:r>
      <w:r w:rsidR="00C9346D">
        <w:rPr>
          <w:rStyle w:val="ads"/>
          <w:rFonts w:ascii="Arial" w:hAnsi="Arial" w:cs="Arial"/>
          <w:color w:val="000000"/>
          <w:sz w:val="20"/>
          <w:szCs w:val="20"/>
        </w:rPr>
        <w:t>customer contracts</w:t>
      </w:r>
      <w:r w:rsidR="0067422B">
        <w:rPr>
          <w:rStyle w:val="ads"/>
          <w:rFonts w:ascii="Arial" w:hAnsi="Arial" w:cs="Arial"/>
          <w:color w:val="000000"/>
          <w:sz w:val="20"/>
          <w:szCs w:val="20"/>
        </w:rPr>
        <w:t xml:space="preserve"> </w:t>
      </w:r>
      <w:r w:rsidR="00C9346D">
        <w:rPr>
          <w:rStyle w:val="ads"/>
          <w:rFonts w:ascii="Arial" w:hAnsi="Arial" w:cs="Arial"/>
          <w:color w:val="000000"/>
          <w:sz w:val="20"/>
          <w:szCs w:val="20"/>
        </w:rPr>
        <w:t xml:space="preserve">including the </w:t>
      </w:r>
      <w:r w:rsidRPr="006650F4">
        <w:rPr>
          <w:rStyle w:val="ads"/>
          <w:rFonts w:ascii="Arial" w:hAnsi="Arial" w:cs="Arial"/>
          <w:color w:val="000000"/>
          <w:sz w:val="20"/>
          <w:szCs w:val="20"/>
        </w:rPr>
        <w:t xml:space="preserve">previously announced impact of </w:t>
      </w:r>
      <w:bookmarkStart w:id="7" w:name="_Hlk167966084"/>
      <w:r w:rsidRPr="006650F4">
        <w:rPr>
          <w:rStyle w:val="ads"/>
          <w:rFonts w:ascii="Arial" w:hAnsi="Arial" w:cs="Arial"/>
          <w:color w:val="000000"/>
          <w:sz w:val="20"/>
          <w:szCs w:val="20"/>
        </w:rPr>
        <w:t xml:space="preserve">the insourced </w:t>
      </w:r>
      <w:r w:rsidR="00C32695">
        <w:rPr>
          <w:rStyle w:val="ads"/>
          <w:rFonts w:ascii="Arial" w:hAnsi="Arial" w:cs="Arial"/>
          <w:color w:val="000000"/>
          <w:sz w:val="20"/>
          <w:szCs w:val="20"/>
        </w:rPr>
        <w:t>customer</w:t>
      </w:r>
      <w:r w:rsidR="00C32695" w:rsidRPr="006650F4">
        <w:rPr>
          <w:rStyle w:val="ads"/>
          <w:rFonts w:ascii="Arial" w:hAnsi="Arial" w:cs="Arial"/>
          <w:color w:val="000000"/>
          <w:sz w:val="20"/>
          <w:szCs w:val="20"/>
        </w:rPr>
        <w:t xml:space="preserve"> </w:t>
      </w:r>
      <w:r w:rsidRPr="006650F4">
        <w:rPr>
          <w:rStyle w:val="ads"/>
          <w:rFonts w:ascii="Arial" w:hAnsi="Arial" w:cs="Arial"/>
          <w:color w:val="000000"/>
          <w:sz w:val="20"/>
          <w:szCs w:val="20"/>
        </w:rPr>
        <w:t>loss</w:t>
      </w:r>
      <w:bookmarkEnd w:id="7"/>
      <w:r>
        <w:rPr>
          <w:rStyle w:val="ads"/>
          <w:rFonts w:ascii="Arial" w:hAnsi="Arial" w:cs="Arial"/>
          <w:color w:val="000000"/>
          <w:sz w:val="20"/>
          <w:szCs w:val="20"/>
        </w:rPr>
        <w:t>. The business however</w:t>
      </w:r>
      <w:r w:rsidR="007A42A4" w:rsidRPr="007A42A4">
        <w:rPr>
          <w:rStyle w:val="ads"/>
          <w:rFonts w:ascii="Arial" w:hAnsi="Arial" w:cs="Arial"/>
          <w:color w:val="000000"/>
          <w:sz w:val="20"/>
          <w:szCs w:val="20"/>
        </w:rPr>
        <w:t xml:space="preserve"> </w:t>
      </w:r>
      <w:r w:rsidR="007A42A4">
        <w:rPr>
          <w:rStyle w:val="ads"/>
          <w:rFonts w:ascii="Arial" w:hAnsi="Arial" w:cs="Arial"/>
          <w:color w:val="000000"/>
          <w:sz w:val="20"/>
          <w:szCs w:val="20"/>
        </w:rPr>
        <w:t>achieved 93% customer retention</w:t>
      </w:r>
      <w:r w:rsidR="007A42A4">
        <w:rPr>
          <w:rStyle w:val="FootnoteReference"/>
          <w:rFonts w:ascii="Arial" w:hAnsi="Arial" w:cs="Arial"/>
          <w:color w:val="000000"/>
          <w:sz w:val="20"/>
          <w:szCs w:val="20"/>
        </w:rPr>
        <w:footnoteReference w:id="7"/>
      </w:r>
      <w:r w:rsidR="007A42A4">
        <w:rPr>
          <w:rStyle w:val="ads"/>
          <w:rFonts w:ascii="Arial" w:hAnsi="Arial" w:cs="Arial"/>
          <w:color w:val="000000"/>
          <w:sz w:val="20"/>
          <w:szCs w:val="20"/>
        </w:rPr>
        <w:t xml:space="preserve"> during FY24</w:t>
      </w:r>
      <w:r>
        <w:rPr>
          <w:rStyle w:val="ads"/>
          <w:rFonts w:ascii="Arial" w:hAnsi="Arial" w:cs="Arial"/>
          <w:color w:val="000000"/>
          <w:sz w:val="20"/>
          <w:szCs w:val="20"/>
        </w:rPr>
        <w:t>, delivered strong new business</w:t>
      </w:r>
      <w:r w:rsidR="00297C0C">
        <w:rPr>
          <w:rStyle w:val="ads"/>
          <w:rFonts w:ascii="Arial" w:hAnsi="Arial" w:cs="Arial"/>
          <w:color w:val="000000"/>
          <w:sz w:val="20"/>
          <w:szCs w:val="20"/>
        </w:rPr>
        <w:t xml:space="preserve"> wins</w:t>
      </w:r>
      <w:r>
        <w:rPr>
          <w:rStyle w:val="ads"/>
          <w:rFonts w:ascii="Arial" w:hAnsi="Arial" w:cs="Arial"/>
          <w:color w:val="000000"/>
          <w:sz w:val="20"/>
          <w:szCs w:val="20"/>
        </w:rPr>
        <w:t xml:space="preserve"> in the year, </w:t>
      </w:r>
      <w:r w:rsidR="00297C0C">
        <w:rPr>
          <w:rStyle w:val="ads"/>
          <w:rFonts w:ascii="Arial" w:hAnsi="Arial" w:cs="Arial"/>
          <w:color w:val="000000"/>
          <w:sz w:val="20"/>
          <w:szCs w:val="20"/>
        </w:rPr>
        <w:t xml:space="preserve">securing </w:t>
      </w:r>
      <w:r>
        <w:rPr>
          <w:rStyle w:val="ads"/>
          <w:rFonts w:ascii="Arial" w:hAnsi="Arial" w:cs="Arial"/>
          <w:color w:val="000000"/>
          <w:sz w:val="20"/>
          <w:szCs w:val="20"/>
        </w:rPr>
        <w:t xml:space="preserve">£9.9 million </w:t>
      </w:r>
      <w:r w:rsidR="00E42501">
        <w:rPr>
          <w:rStyle w:val="ads"/>
          <w:rFonts w:ascii="Arial" w:hAnsi="Arial" w:cs="Arial"/>
          <w:color w:val="000000"/>
          <w:sz w:val="20"/>
          <w:szCs w:val="20"/>
        </w:rPr>
        <w:t xml:space="preserve">of revenue </w:t>
      </w:r>
      <w:r>
        <w:rPr>
          <w:rStyle w:val="ads"/>
          <w:rFonts w:ascii="Arial" w:hAnsi="Arial" w:cs="Arial"/>
          <w:color w:val="000000"/>
          <w:sz w:val="20"/>
          <w:szCs w:val="20"/>
        </w:rPr>
        <w:t xml:space="preserve">which has commenced or is scheduled to start in the coming months </w:t>
      </w:r>
      <w:r w:rsidR="00C32695">
        <w:rPr>
          <w:rStyle w:val="ads"/>
          <w:rFonts w:ascii="Arial" w:hAnsi="Arial" w:cs="Arial"/>
          <w:color w:val="000000"/>
          <w:sz w:val="20"/>
          <w:szCs w:val="20"/>
        </w:rPr>
        <w:t>and</w:t>
      </w:r>
      <w:r>
        <w:rPr>
          <w:rStyle w:val="ads"/>
          <w:rFonts w:ascii="Arial" w:hAnsi="Arial" w:cs="Arial"/>
          <w:color w:val="000000"/>
          <w:sz w:val="20"/>
          <w:szCs w:val="20"/>
        </w:rPr>
        <w:t xml:space="preserve">. The business has subsequently won an additional £3.9 million since </w:t>
      </w:r>
      <w:r w:rsidR="00420B97">
        <w:rPr>
          <w:rStyle w:val="ads"/>
          <w:rFonts w:ascii="Arial" w:hAnsi="Arial" w:cs="Arial"/>
          <w:color w:val="000000"/>
          <w:sz w:val="20"/>
          <w:szCs w:val="20"/>
        </w:rPr>
        <w:t>year end</w:t>
      </w:r>
      <w:r>
        <w:rPr>
          <w:rStyle w:val="ads"/>
          <w:rFonts w:ascii="Arial" w:hAnsi="Arial" w:cs="Arial"/>
          <w:color w:val="000000"/>
          <w:sz w:val="20"/>
          <w:szCs w:val="20"/>
        </w:rPr>
        <w:t xml:space="preserve"> which has more than compensated for the business lost during the prior year. </w:t>
      </w:r>
    </w:p>
    <w:p w14:paraId="5BE6096F" w14:textId="77777777" w:rsidR="000B5743" w:rsidRDefault="000B5743" w:rsidP="000B5743">
      <w:pPr>
        <w:pStyle w:val="aea"/>
        <w:spacing w:before="0" w:beforeAutospacing="0" w:after="0" w:afterAutospacing="0"/>
        <w:jc w:val="both"/>
        <w:rPr>
          <w:rStyle w:val="ads"/>
          <w:rFonts w:ascii="Arial" w:hAnsi="Arial" w:cs="Arial"/>
          <w:color w:val="000000"/>
          <w:sz w:val="20"/>
          <w:szCs w:val="20"/>
        </w:rPr>
      </w:pPr>
    </w:p>
    <w:p w14:paraId="2304DB9D" w14:textId="5C63ACE5" w:rsidR="000B5743" w:rsidRPr="002E6E5D" w:rsidRDefault="000B5743" w:rsidP="000B5743">
      <w:pPr>
        <w:pStyle w:val="aea"/>
        <w:spacing w:before="0" w:beforeAutospacing="0" w:after="0" w:afterAutospacing="0"/>
        <w:jc w:val="both"/>
        <w:rPr>
          <w:rStyle w:val="ads"/>
          <w:rFonts w:ascii="Arial" w:hAnsi="Arial" w:cs="Arial"/>
          <w:color w:val="000000"/>
          <w:sz w:val="20"/>
          <w:szCs w:val="20"/>
        </w:rPr>
      </w:pPr>
      <w:r>
        <w:rPr>
          <w:rStyle w:val="ads"/>
          <w:rFonts w:ascii="Arial" w:hAnsi="Arial" w:cs="Arial"/>
          <w:color w:val="000000"/>
          <w:sz w:val="20"/>
          <w:szCs w:val="20"/>
        </w:rPr>
        <w:t xml:space="preserve">EBITDA decreased by </w:t>
      </w:r>
      <w:r w:rsidR="00457A8E">
        <w:rPr>
          <w:rStyle w:val="ads"/>
          <w:rFonts w:ascii="Arial" w:hAnsi="Arial" w:cs="Arial"/>
          <w:color w:val="000000"/>
          <w:sz w:val="20"/>
          <w:szCs w:val="20"/>
        </w:rPr>
        <w:t>1</w:t>
      </w:r>
      <w:r w:rsidR="00B71403">
        <w:rPr>
          <w:rStyle w:val="ads"/>
          <w:rFonts w:ascii="Arial" w:hAnsi="Arial" w:cs="Arial"/>
          <w:color w:val="000000"/>
          <w:sz w:val="20"/>
          <w:szCs w:val="20"/>
        </w:rPr>
        <w:t>8</w:t>
      </w:r>
      <w:r>
        <w:rPr>
          <w:rStyle w:val="ads"/>
          <w:rFonts w:ascii="Arial" w:hAnsi="Arial" w:cs="Arial"/>
          <w:color w:val="000000"/>
          <w:sz w:val="20"/>
          <w:szCs w:val="20"/>
        </w:rPr>
        <w:t xml:space="preserve">% due </w:t>
      </w:r>
      <w:r w:rsidR="00420B97">
        <w:rPr>
          <w:rStyle w:val="ads"/>
          <w:rFonts w:ascii="Arial" w:hAnsi="Arial" w:cs="Arial"/>
          <w:color w:val="000000"/>
          <w:sz w:val="20"/>
          <w:szCs w:val="20"/>
        </w:rPr>
        <w:t xml:space="preserve">to </w:t>
      </w:r>
      <w:r>
        <w:rPr>
          <w:rStyle w:val="ads"/>
          <w:rFonts w:ascii="Arial" w:hAnsi="Arial" w:cs="Arial"/>
          <w:color w:val="000000"/>
          <w:sz w:val="20"/>
          <w:szCs w:val="20"/>
        </w:rPr>
        <w:t xml:space="preserve">the contract </w:t>
      </w:r>
      <w:r w:rsidR="00C9346D">
        <w:rPr>
          <w:rStyle w:val="ads"/>
          <w:rFonts w:ascii="Arial" w:hAnsi="Arial" w:cs="Arial"/>
          <w:color w:val="000000"/>
          <w:sz w:val="20"/>
          <w:szCs w:val="20"/>
        </w:rPr>
        <w:t>losses noted above</w:t>
      </w:r>
      <w:r>
        <w:rPr>
          <w:rStyle w:val="ads"/>
          <w:rFonts w:ascii="Arial" w:hAnsi="Arial" w:cs="Arial"/>
          <w:color w:val="000000"/>
          <w:sz w:val="20"/>
          <w:szCs w:val="20"/>
        </w:rPr>
        <w:t>. On the transfer of contract</w:t>
      </w:r>
      <w:r w:rsidR="00C9346D">
        <w:rPr>
          <w:rStyle w:val="ads"/>
          <w:rFonts w:ascii="Arial" w:hAnsi="Arial" w:cs="Arial"/>
          <w:color w:val="000000"/>
          <w:sz w:val="20"/>
          <w:szCs w:val="20"/>
        </w:rPr>
        <w:t>s</w:t>
      </w:r>
      <w:r>
        <w:rPr>
          <w:rStyle w:val="ads"/>
          <w:rFonts w:ascii="Arial" w:hAnsi="Arial" w:cs="Arial"/>
          <w:color w:val="000000"/>
          <w:sz w:val="20"/>
          <w:szCs w:val="20"/>
        </w:rPr>
        <w:t xml:space="preserve">, TUPE did not apply, allowing us to retain our clinical specialists for redeployment on new contracts and across our operations. This resulted in a short-term margin impact but </w:t>
      </w:r>
      <w:r w:rsidR="00420B97">
        <w:rPr>
          <w:rStyle w:val="ads"/>
          <w:rFonts w:ascii="Arial" w:hAnsi="Arial" w:cs="Arial"/>
          <w:color w:val="000000"/>
          <w:sz w:val="20"/>
          <w:szCs w:val="20"/>
        </w:rPr>
        <w:t xml:space="preserve">has </w:t>
      </w:r>
      <w:r>
        <w:rPr>
          <w:rStyle w:val="ads"/>
          <w:rFonts w:ascii="Arial" w:hAnsi="Arial" w:cs="Arial"/>
          <w:color w:val="000000"/>
          <w:sz w:val="20"/>
          <w:szCs w:val="20"/>
        </w:rPr>
        <w:t>allow</w:t>
      </w:r>
      <w:r w:rsidR="00420B97">
        <w:rPr>
          <w:rStyle w:val="ads"/>
          <w:rFonts w:ascii="Arial" w:hAnsi="Arial" w:cs="Arial"/>
          <w:color w:val="000000"/>
          <w:sz w:val="20"/>
          <w:szCs w:val="20"/>
        </w:rPr>
        <w:t>ed</w:t>
      </w:r>
      <w:r>
        <w:rPr>
          <w:rStyle w:val="ads"/>
          <w:rFonts w:ascii="Arial" w:hAnsi="Arial" w:cs="Arial"/>
          <w:color w:val="000000"/>
          <w:sz w:val="20"/>
          <w:szCs w:val="20"/>
        </w:rPr>
        <w:t xml:space="preserve"> us to successfully bid and fulfil all new contract wins. This margin impact has been slightly offset through the benefits of our integration programmes as we are able to deliver more efficient scheduling and service delivery through our leading technology platforms. </w:t>
      </w:r>
    </w:p>
    <w:p w14:paraId="0C69EC48" w14:textId="77777777" w:rsidR="000B5743" w:rsidRPr="0077073D" w:rsidRDefault="000B5743" w:rsidP="000B5743">
      <w:pPr>
        <w:pStyle w:val="aea"/>
        <w:spacing w:before="0" w:beforeAutospacing="0" w:after="0" w:afterAutospacing="0"/>
        <w:jc w:val="both"/>
        <w:rPr>
          <w:rStyle w:val="ads"/>
          <w:rFonts w:ascii="Arial" w:hAnsi="Arial" w:cs="Arial"/>
          <w:b/>
          <w:bCs/>
          <w:color w:val="000000"/>
          <w:sz w:val="20"/>
          <w:szCs w:val="20"/>
        </w:rPr>
      </w:pPr>
    </w:p>
    <w:p w14:paraId="569A3C41" w14:textId="77777777" w:rsidR="000B5743" w:rsidRPr="0077073D" w:rsidRDefault="000B5743" w:rsidP="000B5743">
      <w:pPr>
        <w:jc w:val="both"/>
        <w:rPr>
          <w:rFonts w:ascii="Arial" w:eastAsia="Times New Roman" w:hAnsi="Arial" w:cs="Arial"/>
          <w:color w:val="000000"/>
          <w:sz w:val="20"/>
          <w:szCs w:val="20"/>
          <w:lang w:eastAsia="en-GB"/>
        </w:rPr>
      </w:pPr>
      <w:r w:rsidRPr="00811359">
        <w:rPr>
          <w:rFonts w:ascii="Arial" w:hAnsi="Arial" w:cs="Arial"/>
          <w:b/>
          <w:bCs/>
          <w:sz w:val="20"/>
          <w:szCs w:val="20"/>
        </w:rPr>
        <w:t>Operational review</w:t>
      </w:r>
      <w:r>
        <w:rPr>
          <w:rFonts w:ascii="Arial" w:hAnsi="Arial" w:cs="Arial"/>
          <w:b/>
          <w:bCs/>
          <w:sz w:val="20"/>
          <w:szCs w:val="20"/>
        </w:rPr>
        <w:t xml:space="preserve"> </w:t>
      </w:r>
    </w:p>
    <w:p w14:paraId="760668FE" w14:textId="13B8D187" w:rsidR="000B5743" w:rsidRDefault="000B5743" w:rsidP="000B5743">
      <w:pPr>
        <w:jc w:val="both"/>
        <w:rPr>
          <w:rStyle w:val="er"/>
          <w:rFonts w:ascii="Arial" w:eastAsia="Times New Roman" w:hAnsi="Arial" w:cs="Arial"/>
          <w:color w:val="000000"/>
          <w:sz w:val="20"/>
          <w:szCs w:val="20"/>
          <w:lang w:eastAsia="en-GB"/>
        </w:rPr>
      </w:pPr>
      <w:r w:rsidRPr="0077073D">
        <w:rPr>
          <w:rStyle w:val="er"/>
          <w:rFonts w:ascii="Arial" w:eastAsia="Times New Roman" w:hAnsi="Arial" w:cs="Arial"/>
          <w:b/>
          <w:bCs/>
          <w:color w:val="000000"/>
          <w:sz w:val="20"/>
          <w:szCs w:val="20"/>
          <w:lang w:eastAsia="en-GB"/>
        </w:rPr>
        <w:t>Occupational Health</w:t>
      </w:r>
      <w:r w:rsidRPr="0077073D">
        <w:rPr>
          <w:rStyle w:val="er"/>
          <w:rFonts w:ascii="Arial" w:eastAsia="Times New Roman" w:hAnsi="Arial" w:cs="Arial"/>
          <w:color w:val="000000"/>
          <w:sz w:val="20"/>
          <w:szCs w:val="20"/>
          <w:lang w:eastAsia="en-GB"/>
        </w:rPr>
        <w:t xml:space="preserve"> </w:t>
      </w:r>
      <w:r>
        <w:rPr>
          <w:rStyle w:val="er"/>
          <w:rFonts w:ascii="Arial" w:eastAsia="Times New Roman" w:hAnsi="Arial" w:cs="Arial"/>
          <w:color w:val="000000"/>
          <w:sz w:val="20"/>
          <w:szCs w:val="20"/>
          <w:lang w:eastAsia="en-GB"/>
        </w:rPr>
        <w:t>is coming to the end of a large integration programme having combined nine occupational health acquisitions since enter</w:t>
      </w:r>
      <w:r w:rsidR="00116F1C">
        <w:rPr>
          <w:rStyle w:val="er"/>
          <w:rFonts w:ascii="Arial" w:eastAsia="Times New Roman" w:hAnsi="Arial" w:cs="Arial"/>
          <w:color w:val="000000"/>
          <w:sz w:val="20"/>
          <w:szCs w:val="20"/>
          <w:lang w:eastAsia="en-GB"/>
        </w:rPr>
        <w:t xml:space="preserve">ing </w:t>
      </w:r>
      <w:r>
        <w:rPr>
          <w:rStyle w:val="er"/>
          <w:rFonts w:ascii="Arial" w:eastAsia="Times New Roman" w:hAnsi="Arial" w:cs="Arial"/>
          <w:color w:val="000000"/>
          <w:sz w:val="20"/>
          <w:szCs w:val="20"/>
          <w:lang w:eastAsia="en-GB"/>
        </w:rPr>
        <w:t xml:space="preserve">the </w:t>
      </w:r>
      <w:r w:rsidR="00116F1C">
        <w:rPr>
          <w:rStyle w:val="er"/>
          <w:rFonts w:ascii="Arial" w:eastAsia="Times New Roman" w:hAnsi="Arial" w:cs="Arial"/>
          <w:color w:val="000000"/>
          <w:sz w:val="20"/>
          <w:szCs w:val="20"/>
          <w:lang w:eastAsia="en-GB"/>
        </w:rPr>
        <w:t>m</w:t>
      </w:r>
      <w:r>
        <w:rPr>
          <w:rStyle w:val="er"/>
          <w:rFonts w:ascii="Arial" w:eastAsia="Times New Roman" w:hAnsi="Arial" w:cs="Arial"/>
          <w:color w:val="000000"/>
          <w:sz w:val="20"/>
          <w:szCs w:val="20"/>
          <w:lang w:eastAsia="en-GB"/>
        </w:rPr>
        <w:t>arket in early 2020. Occupational Health now operates under one management team and one brand, Optima Health. We are the market leader, with 900 clinical specialists, servicing 5 million employees and delivering over 1 million interventions each year. C</w:t>
      </w:r>
      <w:r w:rsidRPr="000422CE">
        <w:rPr>
          <w:rStyle w:val="er"/>
          <w:rFonts w:ascii="Arial" w:eastAsia="Times New Roman" w:hAnsi="Arial" w:cs="Arial"/>
          <w:color w:val="000000"/>
          <w:sz w:val="20"/>
          <w:szCs w:val="20"/>
          <w:lang w:eastAsia="en-GB"/>
        </w:rPr>
        <w:t>ustomers, clinicians, and delivery teams are now on common IT platforms, which allow</w:t>
      </w:r>
      <w:r>
        <w:rPr>
          <w:rStyle w:val="er"/>
          <w:rFonts w:ascii="Arial" w:eastAsia="Times New Roman" w:hAnsi="Arial" w:cs="Arial"/>
          <w:color w:val="000000"/>
          <w:sz w:val="20"/>
          <w:szCs w:val="20"/>
          <w:lang w:eastAsia="en-GB"/>
        </w:rPr>
        <w:t xml:space="preserve">s </w:t>
      </w:r>
      <w:r w:rsidRPr="000422CE">
        <w:rPr>
          <w:rStyle w:val="er"/>
          <w:rFonts w:ascii="Arial" w:eastAsia="Times New Roman" w:hAnsi="Arial" w:cs="Arial"/>
          <w:color w:val="000000"/>
          <w:sz w:val="20"/>
          <w:szCs w:val="20"/>
          <w:lang w:eastAsia="en-GB"/>
        </w:rPr>
        <w:t xml:space="preserve">us to </w:t>
      </w:r>
      <w:r>
        <w:rPr>
          <w:rStyle w:val="er"/>
          <w:rFonts w:ascii="Arial" w:eastAsia="Times New Roman" w:hAnsi="Arial" w:cs="Arial"/>
          <w:color w:val="000000"/>
          <w:sz w:val="20"/>
          <w:szCs w:val="20"/>
          <w:lang w:eastAsia="en-GB"/>
        </w:rPr>
        <w:t xml:space="preserve">benefit from efficient delivery of service, </w:t>
      </w:r>
      <w:r w:rsidRPr="000422CE">
        <w:rPr>
          <w:rStyle w:val="er"/>
          <w:rFonts w:ascii="Arial" w:eastAsia="Times New Roman" w:hAnsi="Arial" w:cs="Arial"/>
          <w:color w:val="000000"/>
          <w:sz w:val="20"/>
          <w:szCs w:val="20"/>
          <w:lang w:eastAsia="en-GB"/>
        </w:rPr>
        <w:t>consistent clinical governance, and best practice across our operation.</w:t>
      </w:r>
    </w:p>
    <w:p w14:paraId="6EF6E13D" w14:textId="25CCF17B" w:rsidR="000B5743" w:rsidRPr="00D83542" w:rsidRDefault="000B5743" w:rsidP="000B5743">
      <w:pPr>
        <w:jc w:val="both"/>
        <w:rPr>
          <w:rFonts w:ascii="Arial" w:hAnsi="Arial" w:cs="Arial"/>
          <w:b/>
          <w:bCs/>
          <w:sz w:val="20"/>
          <w:szCs w:val="20"/>
        </w:rPr>
      </w:pPr>
      <w:r w:rsidRPr="000422CE">
        <w:rPr>
          <w:rFonts w:ascii="Arial" w:hAnsi="Arial" w:cs="Arial"/>
          <w:sz w:val="20"/>
          <w:szCs w:val="20"/>
        </w:rPr>
        <w:t xml:space="preserve">Throughout the integration programme, we have </w:t>
      </w:r>
      <w:r>
        <w:rPr>
          <w:rFonts w:ascii="Arial" w:hAnsi="Arial" w:cs="Arial"/>
          <w:sz w:val="20"/>
          <w:szCs w:val="20"/>
        </w:rPr>
        <w:t>removed</w:t>
      </w:r>
      <w:r w:rsidRPr="000422CE">
        <w:rPr>
          <w:rFonts w:ascii="Arial" w:hAnsi="Arial" w:cs="Arial"/>
          <w:sz w:val="20"/>
          <w:szCs w:val="20"/>
        </w:rPr>
        <w:t xml:space="preserve"> 140 </w:t>
      </w:r>
      <w:r w:rsidR="001B7214">
        <w:rPr>
          <w:rFonts w:ascii="Arial" w:hAnsi="Arial" w:cs="Arial"/>
          <w:sz w:val="20"/>
          <w:szCs w:val="20"/>
        </w:rPr>
        <w:t>duplicated roles</w:t>
      </w:r>
      <w:r w:rsidRPr="000422CE">
        <w:rPr>
          <w:rFonts w:ascii="Arial" w:hAnsi="Arial" w:cs="Arial"/>
          <w:sz w:val="20"/>
          <w:szCs w:val="20"/>
        </w:rPr>
        <w:t xml:space="preserve">, rationalised our property portfolio </w:t>
      </w:r>
      <w:r w:rsidR="001B7214">
        <w:rPr>
          <w:rFonts w:ascii="Arial" w:hAnsi="Arial" w:cs="Arial"/>
          <w:sz w:val="20"/>
          <w:szCs w:val="20"/>
        </w:rPr>
        <w:t xml:space="preserve">by exiting </w:t>
      </w:r>
      <w:r>
        <w:rPr>
          <w:rFonts w:ascii="Arial" w:hAnsi="Arial" w:cs="Arial"/>
          <w:sz w:val="20"/>
          <w:szCs w:val="20"/>
        </w:rPr>
        <w:t xml:space="preserve">six </w:t>
      </w:r>
      <w:r w:rsidRPr="000422CE">
        <w:rPr>
          <w:rFonts w:ascii="Arial" w:hAnsi="Arial" w:cs="Arial"/>
          <w:sz w:val="20"/>
          <w:szCs w:val="20"/>
        </w:rPr>
        <w:t>premises</w:t>
      </w:r>
      <w:r w:rsidR="001B7214">
        <w:rPr>
          <w:rFonts w:ascii="Arial" w:hAnsi="Arial" w:cs="Arial"/>
          <w:sz w:val="20"/>
          <w:szCs w:val="20"/>
        </w:rPr>
        <w:t xml:space="preserve">, and removing </w:t>
      </w:r>
      <w:r w:rsidRPr="000422CE">
        <w:rPr>
          <w:rFonts w:ascii="Arial" w:hAnsi="Arial" w:cs="Arial"/>
          <w:sz w:val="20"/>
          <w:szCs w:val="20"/>
        </w:rPr>
        <w:t>several duplicated and legacy IT systems</w:t>
      </w:r>
      <w:r w:rsidRPr="000422CE">
        <w:rPr>
          <w:rFonts w:ascii="Arial" w:hAnsi="Arial" w:cs="Arial"/>
          <w:b/>
          <w:bCs/>
          <w:sz w:val="20"/>
          <w:szCs w:val="20"/>
        </w:rPr>
        <w:t>.</w:t>
      </w:r>
      <w:r w:rsidRPr="00227C61">
        <w:rPr>
          <w:rFonts w:ascii="Arial" w:hAnsi="Arial" w:cs="Arial"/>
          <w:sz w:val="20"/>
          <w:szCs w:val="20"/>
        </w:rPr>
        <w:t xml:space="preserve"> Furthermore</w:t>
      </w:r>
      <w:r>
        <w:rPr>
          <w:rFonts w:ascii="Arial" w:hAnsi="Arial" w:cs="Arial"/>
          <w:sz w:val="20"/>
          <w:szCs w:val="20"/>
        </w:rPr>
        <w:t xml:space="preserve">, </w:t>
      </w:r>
      <w:r w:rsidRPr="00227C61">
        <w:rPr>
          <w:rFonts w:ascii="Arial" w:hAnsi="Arial" w:cs="Arial"/>
          <w:sz w:val="20"/>
          <w:szCs w:val="20"/>
        </w:rPr>
        <w:t>we have deployed our leading clinical CPD programme to improve our people’s training and development opportunities with over 100 people being inducted onto our class leading GROW programme</w:t>
      </w:r>
      <w:r w:rsidR="001B7214">
        <w:rPr>
          <w:rFonts w:ascii="Arial" w:hAnsi="Arial" w:cs="Arial"/>
          <w:sz w:val="20"/>
          <w:szCs w:val="20"/>
        </w:rPr>
        <w:t xml:space="preserve">. This </w:t>
      </w:r>
      <w:r w:rsidRPr="00227C61">
        <w:rPr>
          <w:rFonts w:ascii="Arial" w:hAnsi="Arial" w:cs="Arial"/>
          <w:sz w:val="20"/>
          <w:szCs w:val="20"/>
        </w:rPr>
        <w:t>in turn leads to better outcomes for our customers, through industry</w:t>
      </w:r>
      <w:r w:rsidR="001B7214">
        <w:rPr>
          <w:rFonts w:ascii="Arial" w:hAnsi="Arial" w:cs="Arial"/>
          <w:sz w:val="20"/>
          <w:szCs w:val="20"/>
        </w:rPr>
        <w:t>-</w:t>
      </w:r>
      <w:r w:rsidRPr="00227C61">
        <w:rPr>
          <w:rFonts w:ascii="Arial" w:hAnsi="Arial" w:cs="Arial"/>
          <w:sz w:val="20"/>
          <w:szCs w:val="20"/>
        </w:rPr>
        <w:t xml:space="preserve">leading turnaround times for services. </w:t>
      </w:r>
      <w:r>
        <w:rPr>
          <w:rFonts w:ascii="Arial" w:hAnsi="Arial" w:cs="Arial"/>
          <w:sz w:val="20"/>
          <w:szCs w:val="20"/>
        </w:rPr>
        <w:t xml:space="preserve">Additionally, through investment in </w:t>
      </w:r>
      <w:r w:rsidR="001B7214">
        <w:rPr>
          <w:rFonts w:ascii="Arial" w:hAnsi="Arial" w:cs="Arial"/>
          <w:sz w:val="20"/>
          <w:szCs w:val="20"/>
        </w:rPr>
        <w:t xml:space="preserve">leadership &amp; development more than </w:t>
      </w:r>
      <w:r w:rsidRPr="00227C61">
        <w:rPr>
          <w:rFonts w:ascii="Arial" w:hAnsi="Arial" w:cs="Arial"/>
          <w:sz w:val="20"/>
          <w:szCs w:val="20"/>
        </w:rPr>
        <w:t>50</w:t>
      </w:r>
      <w:r w:rsidR="001B7214">
        <w:rPr>
          <w:rFonts w:ascii="Arial" w:hAnsi="Arial" w:cs="Arial"/>
          <w:sz w:val="20"/>
          <w:szCs w:val="20"/>
        </w:rPr>
        <w:t xml:space="preserve"> of our</w:t>
      </w:r>
      <w:r w:rsidRPr="00227C61">
        <w:rPr>
          <w:rFonts w:ascii="Arial" w:hAnsi="Arial" w:cs="Arial"/>
          <w:sz w:val="20"/>
          <w:szCs w:val="20"/>
        </w:rPr>
        <w:t xml:space="preserve"> people </w:t>
      </w:r>
      <w:r w:rsidR="001B7214">
        <w:rPr>
          <w:rFonts w:ascii="Arial" w:hAnsi="Arial" w:cs="Arial"/>
          <w:sz w:val="20"/>
          <w:szCs w:val="20"/>
        </w:rPr>
        <w:t xml:space="preserve">have </w:t>
      </w:r>
      <w:r w:rsidRPr="00227C61">
        <w:rPr>
          <w:rFonts w:ascii="Arial" w:hAnsi="Arial" w:cs="Arial"/>
          <w:sz w:val="20"/>
          <w:szCs w:val="20"/>
        </w:rPr>
        <w:t>achieve</w:t>
      </w:r>
      <w:r w:rsidR="001B7214">
        <w:rPr>
          <w:rFonts w:ascii="Arial" w:hAnsi="Arial" w:cs="Arial"/>
          <w:sz w:val="20"/>
          <w:szCs w:val="20"/>
        </w:rPr>
        <w:t xml:space="preserve">d </w:t>
      </w:r>
      <w:r w:rsidRPr="00227C61">
        <w:rPr>
          <w:rFonts w:ascii="Arial" w:hAnsi="Arial" w:cs="Arial"/>
          <w:sz w:val="20"/>
          <w:szCs w:val="20"/>
        </w:rPr>
        <w:t>a professional qualification</w:t>
      </w:r>
      <w:r>
        <w:rPr>
          <w:rFonts w:ascii="Arial" w:hAnsi="Arial" w:cs="Arial"/>
          <w:sz w:val="20"/>
          <w:szCs w:val="20"/>
        </w:rPr>
        <w:t xml:space="preserve"> and</w:t>
      </w:r>
      <w:r w:rsidR="001B7214">
        <w:rPr>
          <w:rFonts w:ascii="Arial" w:hAnsi="Arial" w:cs="Arial"/>
          <w:sz w:val="20"/>
          <w:szCs w:val="20"/>
        </w:rPr>
        <w:t xml:space="preserve"> we have seen</w:t>
      </w:r>
      <w:r>
        <w:rPr>
          <w:rFonts w:ascii="Arial" w:hAnsi="Arial" w:cs="Arial"/>
          <w:sz w:val="20"/>
          <w:szCs w:val="20"/>
        </w:rPr>
        <w:t xml:space="preserve"> a 20% improvement in our employee Net Promoter Score. </w:t>
      </w:r>
    </w:p>
    <w:p w14:paraId="102BE2DD" w14:textId="4258D0CD" w:rsidR="000B5743" w:rsidRDefault="000B5743" w:rsidP="000B5743">
      <w:pPr>
        <w:jc w:val="both"/>
        <w:rPr>
          <w:rFonts w:ascii="Arial" w:hAnsi="Arial" w:cs="Arial"/>
          <w:sz w:val="20"/>
          <w:szCs w:val="20"/>
        </w:rPr>
      </w:pPr>
      <w:bookmarkStart w:id="8" w:name="_Hlk172283301"/>
      <w:r>
        <w:rPr>
          <w:rFonts w:ascii="Arial" w:hAnsi="Arial" w:cs="Arial"/>
          <w:sz w:val="20"/>
          <w:szCs w:val="20"/>
        </w:rPr>
        <w:t>Since the year end, we have retired the final legacy systems after transferring the remaining tranche of customers onto the Optima Health platform and are set to exit an additional premise</w:t>
      </w:r>
      <w:r w:rsidR="0032170A">
        <w:rPr>
          <w:rFonts w:ascii="Arial" w:hAnsi="Arial" w:cs="Arial"/>
          <w:sz w:val="20"/>
          <w:szCs w:val="20"/>
        </w:rPr>
        <w:t>s</w:t>
      </w:r>
      <w:r>
        <w:rPr>
          <w:rFonts w:ascii="Arial" w:hAnsi="Arial" w:cs="Arial"/>
          <w:sz w:val="20"/>
          <w:szCs w:val="20"/>
        </w:rPr>
        <w:t xml:space="preserve"> in </w:t>
      </w:r>
      <w:r w:rsidR="00457A8E">
        <w:rPr>
          <w:rFonts w:ascii="Arial" w:hAnsi="Arial" w:cs="Arial"/>
          <w:sz w:val="20"/>
          <w:szCs w:val="20"/>
        </w:rPr>
        <w:t>the half</w:t>
      </w:r>
      <w:bookmarkEnd w:id="8"/>
      <w:r>
        <w:rPr>
          <w:rFonts w:ascii="Arial" w:hAnsi="Arial" w:cs="Arial"/>
          <w:sz w:val="20"/>
          <w:szCs w:val="20"/>
        </w:rPr>
        <w:t>. We expect all restructuring expense to have concluded by 30 September 2024.</w:t>
      </w:r>
    </w:p>
    <w:p w14:paraId="29A21BB7" w14:textId="6895B541" w:rsidR="002F23F6" w:rsidRDefault="000B5743" w:rsidP="000B5743">
      <w:pPr>
        <w:jc w:val="both"/>
        <w:rPr>
          <w:rFonts w:ascii="Arial" w:hAnsi="Arial" w:cs="Arial"/>
          <w:sz w:val="20"/>
          <w:szCs w:val="20"/>
        </w:rPr>
      </w:pPr>
      <w:r>
        <w:rPr>
          <w:rFonts w:ascii="Arial" w:hAnsi="Arial" w:cs="Arial"/>
          <w:sz w:val="20"/>
          <w:szCs w:val="20"/>
        </w:rPr>
        <w:t xml:space="preserve">We achieved 93% customer retention in year as we continue to deliver best-in-class clinical governance rates and continue to showcase our value to our customers, through tangible improvements in the productivity of their workforce. </w:t>
      </w:r>
    </w:p>
    <w:p w14:paraId="4634DE35" w14:textId="77777777" w:rsidR="0051500E" w:rsidRPr="00654CED" w:rsidRDefault="0051500E" w:rsidP="000B5743">
      <w:pPr>
        <w:jc w:val="both"/>
        <w:rPr>
          <w:rFonts w:ascii="Arial" w:hAnsi="Arial" w:cs="Arial"/>
          <w:sz w:val="20"/>
          <w:szCs w:val="20"/>
        </w:rPr>
      </w:pPr>
    </w:p>
    <w:p w14:paraId="444595C4" w14:textId="1F2F39E7" w:rsidR="00CA358A" w:rsidRDefault="003B507C" w:rsidP="00C64BC9">
      <w:pPr>
        <w:jc w:val="both"/>
        <w:rPr>
          <w:rFonts w:ascii="Arial" w:hAnsi="Arial" w:cs="Arial"/>
          <w:b/>
          <w:bCs/>
          <w:color w:val="000000"/>
          <w:sz w:val="20"/>
          <w:szCs w:val="20"/>
        </w:rPr>
      </w:pPr>
      <w:r w:rsidRPr="000B13F3">
        <w:rPr>
          <w:rFonts w:ascii="Arial" w:hAnsi="Arial" w:cs="Arial"/>
          <w:b/>
          <w:bCs/>
          <w:color w:val="000000"/>
          <w:sz w:val="20"/>
          <w:szCs w:val="20"/>
        </w:rPr>
        <w:lastRenderedPageBreak/>
        <w:t>FINANCIAL REVIEW</w:t>
      </w:r>
    </w:p>
    <w:p w14:paraId="1895FC50" w14:textId="76ECBFFB" w:rsidR="00AC1169" w:rsidRPr="000B13F3" w:rsidRDefault="00AC1169" w:rsidP="00C64BC9">
      <w:pPr>
        <w:jc w:val="both"/>
        <w:rPr>
          <w:rFonts w:ascii="Arial" w:hAnsi="Arial" w:cs="Arial"/>
          <w:b/>
          <w:bCs/>
          <w:color w:val="000000"/>
          <w:sz w:val="20"/>
          <w:szCs w:val="20"/>
        </w:rPr>
      </w:pPr>
      <w:r>
        <w:rPr>
          <w:rFonts w:ascii="Arial" w:hAnsi="Arial" w:cs="Arial"/>
          <w:b/>
          <w:bCs/>
          <w:color w:val="000000"/>
          <w:sz w:val="20"/>
          <w:szCs w:val="20"/>
        </w:rPr>
        <w:t xml:space="preserve">Financial review </w:t>
      </w:r>
      <w:r w:rsidR="00347FF9">
        <w:rPr>
          <w:rFonts w:ascii="Arial" w:hAnsi="Arial" w:cs="Arial"/>
          <w:b/>
          <w:bCs/>
          <w:color w:val="000000"/>
          <w:sz w:val="20"/>
          <w:szCs w:val="20"/>
        </w:rPr>
        <w:t>of Group</w:t>
      </w:r>
    </w:p>
    <w:p w14:paraId="66B527D7" w14:textId="655666A5" w:rsidR="00FB7BF2" w:rsidRDefault="00FB7BF2" w:rsidP="00A30548">
      <w:pPr>
        <w:jc w:val="both"/>
        <w:rPr>
          <w:rFonts w:ascii="Arial" w:hAnsi="Arial" w:cs="Arial"/>
          <w:sz w:val="20"/>
          <w:szCs w:val="20"/>
        </w:rPr>
      </w:pPr>
      <w:r w:rsidRPr="000B13F3">
        <w:rPr>
          <w:rFonts w:ascii="Arial" w:hAnsi="Arial" w:cs="Arial"/>
          <w:sz w:val="20"/>
          <w:szCs w:val="20"/>
        </w:rPr>
        <w:t>Revenue</w:t>
      </w:r>
      <w:r w:rsidR="00347FF9">
        <w:rPr>
          <w:rFonts w:ascii="Arial" w:hAnsi="Arial" w:cs="Arial"/>
          <w:sz w:val="20"/>
          <w:szCs w:val="20"/>
        </w:rPr>
        <w:t xml:space="preserve">, </w:t>
      </w:r>
      <w:r w:rsidR="003201F2">
        <w:rPr>
          <w:rFonts w:ascii="Arial" w:hAnsi="Arial" w:cs="Arial"/>
          <w:sz w:val="20"/>
          <w:szCs w:val="20"/>
        </w:rPr>
        <w:t>from continuing and discontinued operations</w:t>
      </w:r>
      <w:r w:rsidR="00347FF9">
        <w:rPr>
          <w:rFonts w:ascii="Arial" w:hAnsi="Arial" w:cs="Arial"/>
          <w:sz w:val="20"/>
          <w:szCs w:val="20"/>
        </w:rPr>
        <w:t xml:space="preserve">, </w:t>
      </w:r>
      <w:r w:rsidRPr="000B13F3">
        <w:rPr>
          <w:rFonts w:ascii="Arial" w:hAnsi="Arial" w:cs="Arial"/>
          <w:sz w:val="20"/>
          <w:szCs w:val="20"/>
        </w:rPr>
        <w:t>grew in the year to £</w:t>
      </w:r>
      <w:r w:rsidR="00347FF9">
        <w:rPr>
          <w:rFonts w:ascii="Arial" w:hAnsi="Arial" w:cs="Arial"/>
          <w:sz w:val="20"/>
          <w:szCs w:val="20"/>
        </w:rPr>
        <w:t>503.2</w:t>
      </w:r>
      <w:r w:rsidRPr="000B13F3">
        <w:rPr>
          <w:rFonts w:ascii="Arial" w:hAnsi="Arial" w:cs="Arial"/>
          <w:sz w:val="20"/>
          <w:szCs w:val="20"/>
        </w:rPr>
        <w:t xml:space="preserve"> million (FY2</w:t>
      </w:r>
      <w:r w:rsidR="003B2665">
        <w:rPr>
          <w:rFonts w:ascii="Arial" w:hAnsi="Arial" w:cs="Arial"/>
          <w:sz w:val="20"/>
          <w:szCs w:val="20"/>
        </w:rPr>
        <w:t>3</w:t>
      </w:r>
      <w:r w:rsidRPr="000B13F3">
        <w:rPr>
          <w:rFonts w:ascii="Arial" w:hAnsi="Arial" w:cs="Arial"/>
          <w:sz w:val="20"/>
          <w:szCs w:val="20"/>
        </w:rPr>
        <w:t>: £</w:t>
      </w:r>
      <w:r w:rsidR="00347FF9">
        <w:rPr>
          <w:rFonts w:ascii="Arial" w:hAnsi="Arial" w:cs="Arial"/>
          <w:sz w:val="20"/>
          <w:szCs w:val="20"/>
        </w:rPr>
        <w:t>465.7</w:t>
      </w:r>
      <w:r w:rsidR="003B2665">
        <w:rPr>
          <w:rFonts w:ascii="Arial" w:hAnsi="Arial" w:cs="Arial"/>
          <w:sz w:val="20"/>
          <w:szCs w:val="20"/>
        </w:rPr>
        <w:t xml:space="preserve"> </w:t>
      </w:r>
      <w:r w:rsidRPr="000B13F3">
        <w:rPr>
          <w:rFonts w:ascii="Arial" w:hAnsi="Arial" w:cs="Arial"/>
          <w:sz w:val="20"/>
          <w:szCs w:val="20"/>
        </w:rPr>
        <w:t xml:space="preserve">million). The increase reflects organic growth </w:t>
      </w:r>
      <w:r w:rsidR="00347FF9">
        <w:rPr>
          <w:rFonts w:ascii="Arial" w:hAnsi="Arial" w:cs="Arial"/>
          <w:sz w:val="20"/>
          <w:szCs w:val="20"/>
        </w:rPr>
        <w:t xml:space="preserve">and </w:t>
      </w:r>
      <w:r w:rsidRPr="000B13F3">
        <w:rPr>
          <w:rFonts w:ascii="Arial" w:hAnsi="Arial" w:cs="Arial"/>
          <w:sz w:val="20"/>
          <w:szCs w:val="20"/>
        </w:rPr>
        <w:t>contribution from acquisitions completed in the year</w:t>
      </w:r>
      <w:bookmarkStart w:id="9" w:name="_Hlk138322807"/>
      <w:r w:rsidR="0032170A">
        <w:rPr>
          <w:rFonts w:ascii="Arial" w:hAnsi="Arial" w:cs="Arial"/>
          <w:sz w:val="20"/>
          <w:szCs w:val="20"/>
        </w:rPr>
        <w:t>,</w:t>
      </w:r>
      <w:r w:rsidR="003B2665">
        <w:rPr>
          <w:rFonts w:ascii="Arial" w:hAnsi="Arial" w:cs="Arial"/>
          <w:sz w:val="20"/>
          <w:szCs w:val="20"/>
        </w:rPr>
        <w:t xml:space="preserve"> offset by reduction in revenue in Occupational Health </w:t>
      </w:r>
      <w:proofErr w:type="gramStart"/>
      <w:r w:rsidR="003B2665">
        <w:rPr>
          <w:rFonts w:ascii="Arial" w:hAnsi="Arial" w:cs="Arial"/>
          <w:sz w:val="20"/>
          <w:szCs w:val="20"/>
        </w:rPr>
        <w:t>as a result of</w:t>
      </w:r>
      <w:proofErr w:type="gramEnd"/>
      <w:r w:rsidR="003B2665">
        <w:rPr>
          <w:rFonts w:ascii="Arial" w:hAnsi="Arial" w:cs="Arial"/>
          <w:sz w:val="20"/>
          <w:szCs w:val="20"/>
        </w:rPr>
        <w:t xml:space="preserve"> </w:t>
      </w:r>
      <w:r w:rsidR="00C9346D">
        <w:rPr>
          <w:rFonts w:ascii="Arial" w:hAnsi="Arial" w:cs="Arial"/>
          <w:sz w:val="20"/>
          <w:szCs w:val="20"/>
        </w:rPr>
        <w:t>the</w:t>
      </w:r>
      <w:r w:rsidR="003B2665">
        <w:rPr>
          <w:rFonts w:ascii="Arial" w:hAnsi="Arial" w:cs="Arial"/>
          <w:sz w:val="20"/>
          <w:szCs w:val="20"/>
        </w:rPr>
        <w:t xml:space="preserve"> </w:t>
      </w:r>
      <w:r w:rsidR="0067422B">
        <w:rPr>
          <w:rFonts w:ascii="Arial" w:hAnsi="Arial" w:cs="Arial"/>
          <w:sz w:val="20"/>
          <w:szCs w:val="20"/>
        </w:rPr>
        <w:t xml:space="preserve">impact of </w:t>
      </w:r>
      <w:r w:rsidR="003B2665">
        <w:rPr>
          <w:rFonts w:ascii="Arial" w:hAnsi="Arial" w:cs="Arial"/>
          <w:sz w:val="20"/>
          <w:szCs w:val="20"/>
        </w:rPr>
        <w:t>contract loss</w:t>
      </w:r>
      <w:r w:rsidR="00C9346D">
        <w:rPr>
          <w:rFonts w:ascii="Arial" w:hAnsi="Arial" w:cs="Arial"/>
          <w:sz w:val="20"/>
          <w:szCs w:val="20"/>
        </w:rPr>
        <w:t>es</w:t>
      </w:r>
      <w:r w:rsidR="00875915">
        <w:rPr>
          <w:rFonts w:ascii="Arial" w:hAnsi="Arial" w:cs="Arial"/>
          <w:sz w:val="20"/>
          <w:szCs w:val="20"/>
        </w:rPr>
        <w:t>.</w:t>
      </w:r>
      <w:r w:rsidR="003B2665">
        <w:rPr>
          <w:rFonts w:ascii="Arial" w:hAnsi="Arial" w:cs="Arial"/>
          <w:sz w:val="20"/>
          <w:szCs w:val="20"/>
        </w:rPr>
        <w:t xml:space="preserve"> </w:t>
      </w:r>
      <w:r w:rsidR="002A3608" w:rsidRPr="000B13F3">
        <w:rPr>
          <w:rFonts w:ascii="Arial" w:hAnsi="Arial" w:cs="Arial"/>
          <w:sz w:val="20"/>
          <w:szCs w:val="20"/>
        </w:rPr>
        <w:t>Organic revenue growth % on a like-for-like basis is defined as the year-on-year growth of our entire business. This includes the growth or decline of acquisitions from the day of completion, by including their performance from the corresponding prior period</w:t>
      </w:r>
      <w:r w:rsidRPr="000B13F3">
        <w:rPr>
          <w:rFonts w:ascii="Arial" w:hAnsi="Arial" w:cs="Arial"/>
          <w:sz w:val="20"/>
          <w:szCs w:val="20"/>
        </w:rPr>
        <w:t>. The benefit of this approach is that it provides insight as to how recently acquired businesses, along with our existing business, are performing.</w:t>
      </w:r>
      <w:bookmarkEnd w:id="9"/>
    </w:p>
    <w:p w14:paraId="2D188B5D" w14:textId="5E1CB681" w:rsidR="003B2665" w:rsidRDefault="003B2665" w:rsidP="00A30548">
      <w:pPr>
        <w:jc w:val="both"/>
        <w:rPr>
          <w:rFonts w:ascii="Arial" w:hAnsi="Arial" w:cs="Arial"/>
          <w:sz w:val="20"/>
          <w:szCs w:val="20"/>
        </w:rPr>
      </w:pPr>
      <w:r>
        <w:rPr>
          <w:rFonts w:ascii="Arial" w:hAnsi="Arial" w:cs="Arial"/>
          <w:sz w:val="20"/>
          <w:szCs w:val="20"/>
        </w:rPr>
        <w:t xml:space="preserve">Adjusted profit </w:t>
      </w:r>
      <w:r w:rsidR="00347FF9">
        <w:rPr>
          <w:rFonts w:ascii="Arial" w:hAnsi="Arial" w:cs="Arial"/>
          <w:sz w:val="20"/>
          <w:szCs w:val="20"/>
        </w:rPr>
        <w:t xml:space="preserve">before tax </w:t>
      </w:r>
      <w:r>
        <w:rPr>
          <w:rFonts w:ascii="Arial" w:hAnsi="Arial" w:cs="Arial"/>
          <w:sz w:val="20"/>
          <w:szCs w:val="20"/>
        </w:rPr>
        <w:t>decreased by 1</w:t>
      </w:r>
      <w:r w:rsidR="00347FF9">
        <w:rPr>
          <w:rFonts w:ascii="Arial" w:hAnsi="Arial" w:cs="Arial"/>
          <w:sz w:val="20"/>
          <w:szCs w:val="20"/>
        </w:rPr>
        <w:t>3</w:t>
      </w:r>
      <w:r>
        <w:rPr>
          <w:rFonts w:ascii="Arial" w:hAnsi="Arial" w:cs="Arial"/>
          <w:sz w:val="20"/>
          <w:szCs w:val="20"/>
        </w:rPr>
        <w:t>% to £</w:t>
      </w:r>
      <w:r w:rsidR="00347FF9">
        <w:rPr>
          <w:rFonts w:ascii="Arial" w:hAnsi="Arial" w:cs="Arial"/>
          <w:sz w:val="20"/>
          <w:szCs w:val="20"/>
        </w:rPr>
        <w:t>46.8</w:t>
      </w:r>
      <w:r>
        <w:rPr>
          <w:rFonts w:ascii="Arial" w:hAnsi="Arial" w:cs="Arial"/>
          <w:sz w:val="20"/>
          <w:szCs w:val="20"/>
        </w:rPr>
        <w:t xml:space="preserve"> million (FY23: £</w:t>
      </w:r>
      <w:r w:rsidR="00347FF9">
        <w:rPr>
          <w:rFonts w:ascii="Arial" w:hAnsi="Arial" w:cs="Arial"/>
          <w:sz w:val="20"/>
          <w:szCs w:val="20"/>
        </w:rPr>
        <w:t>53.6</w:t>
      </w:r>
      <w:r>
        <w:rPr>
          <w:rFonts w:ascii="Arial" w:hAnsi="Arial" w:cs="Arial"/>
          <w:sz w:val="20"/>
          <w:szCs w:val="20"/>
        </w:rPr>
        <w:t xml:space="preserve"> million) </w:t>
      </w:r>
      <w:r w:rsidR="00316B63">
        <w:rPr>
          <w:rFonts w:ascii="Arial" w:hAnsi="Arial" w:cs="Arial"/>
          <w:sz w:val="20"/>
          <w:szCs w:val="20"/>
        </w:rPr>
        <w:t>driven by a weak</w:t>
      </w:r>
      <w:r w:rsidR="004925E8">
        <w:rPr>
          <w:rFonts w:ascii="Arial" w:hAnsi="Arial" w:cs="Arial"/>
          <w:sz w:val="20"/>
          <w:szCs w:val="20"/>
        </w:rPr>
        <w:t>en</w:t>
      </w:r>
      <w:r w:rsidR="00316B63">
        <w:rPr>
          <w:rFonts w:ascii="Arial" w:hAnsi="Arial" w:cs="Arial"/>
          <w:sz w:val="20"/>
          <w:szCs w:val="20"/>
        </w:rPr>
        <w:t xml:space="preserve">ing in Occupational Health </w:t>
      </w:r>
      <w:r w:rsidR="00511798">
        <w:rPr>
          <w:rFonts w:ascii="Arial" w:hAnsi="Arial" w:cs="Arial"/>
          <w:sz w:val="20"/>
          <w:szCs w:val="20"/>
        </w:rPr>
        <w:t>following the contract loss</w:t>
      </w:r>
      <w:r w:rsidR="00C9346D">
        <w:rPr>
          <w:rFonts w:ascii="Arial" w:hAnsi="Arial" w:cs="Arial"/>
          <w:sz w:val="20"/>
          <w:szCs w:val="20"/>
        </w:rPr>
        <w:t>es</w:t>
      </w:r>
      <w:r w:rsidR="00511798">
        <w:rPr>
          <w:rFonts w:ascii="Arial" w:hAnsi="Arial" w:cs="Arial"/>
          <w:sz w:val="20"/>
          <w:szCs w:val="20"/>
        </w:rPr>
        <w:t xml:space="preserve"> </w:t>
      </w:r>
      <w:r w:rsidR="00316B63">
        <w:rPr>
          <w:rFonts w:ascii="Arial" w:hAnsi="Arial" w:cs="Arial"/>
          <w:sz w:val="20"/>
          <w:szCs w:val="20"/>
        </w:rPr>
        <w:t xml:space="preserve">and </w:t>
      </w:r>
      <w:r w:rsidR="00316B63" w:rsidRPr="00316B63">
        <w:rPr>
          <w:rFonts w:ascii="Arial" w:hAnsi="Arial" w:cs="Arial"/>
          <w:sz w:val="20"/>
          <w:szCs w:val="20"/>
        </w:rPr>
        <w:t xml:space="preserve">higher finance costs on the Group’s debt facilities resulting from </w:t>
      </w:r>
      <w:r w:rsidR="00316B63">
        <w:rPr>
          <w:rFonts w:ascii="Arial" w:hAnsi="Arial" w:cs="Arial"/>
          <w:sz w:val="20"/>
          <w:szCs w:val="20"/>
        </w:rPr>
        <w:t>the</w:t>
      </w:r>
      <w:r w:rsidR="00316B63" w:rsidRPr="00316B63">
        <w:t xml:space="preserve"> </w:t>
      </w:r>
      <w:r w:rsidR="00316B63" w:rsidRPr="00316B63">
        <w:rPr>
          <w:rFonts w:ascii="Arial" w:hAnsi="Arial" w:cs="Arial"/>
          <w:sz w:val="20"/>
          <w:szCs w:val="20"/>
        </w:rPr>
        <w:t>increased costs of borrowing</w:t>
      </w:r>
      <w:r w:rsidR="00316B63">
        <w:rPr>
          <w:rFonts w:ascii="Arial" w:hAnsi="Arial" w:cs="Arial"/>
          <w:sz w:val="20"/>
          <w:szCs w:val="20"/>
        </w:rPr>
        <w:t xml:space="preserve">. </w:t>
      </w:r>
    </w:p>
    <w:p w14:paraId="05CFBBD5" w14:textId="0DB07B91" w:rsidR="001942A0" w:rsidRPr="000B13F3" w:rsidRDefault="001942A0" w:rsidP="00511798">
      <w:pPr>
        <w:jc w:val="both"/>
        <w:rPr>
          <w:rFonts w:ascii="Arial" w:hAnsi="Arial" w:cs="Arial"/>
          <w:sz w:val="20"/>
          <w:szCs w:val="20"/>
        </w:rPr>
      </w:pPr>
      <w:r w:rsidRPr="001942A0">
        <w:rPr>
          <w:rFonts w:ascii="Arial" w:hAnsi="Arial" w:cs="Arial"/>
          <w:sz w:val="20"/>
          <w:szCs w:val="20"/>
        </w:rPr>
        <w:t xml:space="preserve">Statutory loss before tax was £10.9 million (FY23 loss before tax: £6.9 million) with the increased loss resulting from the reduction in adjusted EBITDA margin noted in the business review combining with higher finance costs and an increase in acquisition and disposal costs to £7.8 million (FY23: £2.7m) which include the strategic review costs conducted in the year. </w:t>
      </w:r>
    </w:p>
    <w:p w14:paraId="36308076" w14:textId="4681168F" w:rsidR="00763531" w:rsidRPr="000B13F3" w:rsidRDefault="00763531" w:rsidP="00A30548">
      <w:pPr>
        <w:jc w:val="both"/>
        <w:rPr>
          <w:rFonts w:ascii="Arial" w:hAnsi="Arial" w:cs="Arial"/>
          <w:sz w:val="20"/>
          <w:szCs w:val="20"/>
        </w:rPr>
      </w:pPr>
      <w:r w:rsidRPr="00763531">
        <w:rPr>
          <w:rFonts w:ascii="Arial" w:hAnsi="Arial" w:cs="Arial"/>
          <w:sz w:val="20"/>
          <w:szCs w:val="20"/>
        </w:rPr>
        <w:t xml:space="preserve">Looking forward, following the completion of the </w:t>
      </w:r>
      <w:r w:rsidR="003201F2">
        <w:rPr>
          <w:rFonts w:ascii="Arial" w:hAnsi="Arial" w:cs="Arial"/>
          <w:sz w:val="20"/>
          <w:szCs w:val="20"/>
        </w:rPr>
        <w:t>Divestment</w:t>
      </w:r>
      <w:r w:rsidR="003201F2" w:rsidRPr="00763531">
        <w:rPr>
          <w:rFonts w:ascii="Arial" w:hAnsi="Arial" w:cs="Arial"/>
          <w:sz w:val="20"/>
          <w:szCs w:val="20"/>
        </w:rPr>
        <w:t xml:space="preserve"> </w:t>
      </w:r>
      <w:r w:rsidRPr="00763531">
        <w:rPr>
          <w:rFonts w:ascii="Arial" w:hAnsi="Arial" w:cs="Arial"/>
          <w:sz w:val="20"/>
          <w:szCs w:val="20"/>
        </w:rPr>
        <w:t>in May 2024, the Group is in a strong position to deliver meaningful improvement in both the statutory and adjusted key financial metrics in FY25.</w:t>
      </w:r>
    </w:p>
    <w:p w14:paraId="79EC7220" w14:textId="350E294E" w:rsidR="00CA358A" w:rsidRPr="000B13F3" w:rsidRDefault="00CA358A" w:rsidP="00FB7BF2">
      <w:pPr>
        <w:rPr>
          <w:rFonts w:ascii="Arial" w:hAnsi="Arial" w:cs="Arial"/>
          <w:b/>
          <w:bCs/>
          <w:sz w:val="20"/>
          <w:szCs w:val="20"/>
        </w:rPr>
      </w:pPr>
      <w:r w:rsidRPr="000B13F3">
        <w:rPr>
          <w:rFonts w:ascii="Arial" w:hAnsi="Arial" w:cs="Arial"/>
          <w:b/>
          <w:bCs/>
          <w:sz w:val="20"/>
          <w:szCs w:val="20"/>
        </w:rPr>
        <w:t>Non-IFRS measures</w:t>
      </w:r>
    </w:p>
    <w:p w14:paraId="7B5A92A5" w14:textId="7810D070" w:rsidR="00FB7BF2" w:rsidRPr="000B13F3" w:rsidRDefault="00FB7BF2" w:rsidP="00FB7BF2">
      <w:pPr>
        <w:jc w:val="both"/>
        <w:rPr>
          <w:rFonts w:ascii="Arial" w:hAnsi="Arial" w:cs="Arial"/>
          <w:sz w:val="20"/>
          <w:szCs w:val="20"/>
        </w:rPr>
      </w:pPr>
      <w:r w:rsidRPr="000B13F3">
        <w:rPr>
          <w:rFonts w:ascii="Arial" w:hAnsi="Arial" w:cs="Arial"/>
          <w:sz w:val="20"/>
          <w:szCs w:val="20"/>
        </w:rPr>
        <w:t>IFRS measures</w:t>
      </w:r>
      <w:r w:rsidR="00A234DC" w:rsidRPr="000B13F3">
        <w:rPr>
          <w:rFonts w:ascii="Arial" w:hAnsi="Arial" w:cs="Arial"/>
          <w:sz w:val="20"/>
          <w:szCs w:val="20"/>
        </w:rPr>
        <w:t xml:space="preserve"> ensure that</w:t>
      </w:r>
      <w:r w:rsidRPr="000B13F3">
        <w:rPr>
          <w:rFonts w:ascii="Arial" w:hAnsi="Arial" w:cs="Arial"/>
          <w:sz w:val="20"/>
          <w:szCs w:val="20"/>
        </w:rPr>
        <w:t xml:space="preserve"> the financial statements contain all the information and disclosures required by all accounting standards and regulatory obligations that apply to the Group. The Annual Report and financial statements also include measures which are not defined by generally accepted accounting principles such as IFRS. We believe this information, along with comparable IFRS measures, is useful as it provides investors with a basis for measuring the performance of the Group on an underlying basis. The Board and our managers use these financial measures to evaluate our operating performance. Non-IFRS financial measures should not be considered in isolation from, or as a substitute for, financial information presented in compliance with IFRS. Similarly, non-IFRS measures as reported by us may not be comparable with similar measures reported by other companies.</w:t>
      </w:r>
    </w:p>
    <w:p w14:paraId="6AEE796D" w14:textId="188B224D" w:rsidR="00AD2304" w:rsidRPr="000B13F3" w:rsidRDefault="00FB7BF2" w:rsidP="00FB7BF2">
      <w:pPr>
        <w:jc w:val="both"/>
        <w:rPr>
          <w:rFonts w:ascii="Arial" w:hAnsi="Arial" w:cs="Arial"/>
          <w:sz w:val="20"/>
          <w:szCs w:val="20"/>
        </w:rPr>
      </w:pPr>
      <w:r w:rsidRPr="000B13F3">
        <w:rPr>
          <w:rFonts w:ascii="Arial" w:hAnsi="Arial" w:cs="Arial"/>
          <w:sz w:val="20"/>
          <w:szCs w:val="20"/>
        </w:rPr>
        <w:t xml:space="preserve">Due to the nature of acquisitions, costs associated with those acquisitions, subsequent integration costs and the non-cash element of certain charges, the Directors believe that adjusted measures provide shareholders with a useful representation of the underlying earnings derived from the Group’s business and a more comparable view of the year-on-year underlying financial performance of the Group. </w:t>
      </w:r>
    </w:p>
    <w:p w14:paraId="7C718814" w14:textId="518794EE" w:rsidR="00CA358A" w:rsidRPr="000B13F3" w:rsidRDefault="009E3787" w:rsidP="009E3787">
      <w:pPr>
        <w:jc w:val="both"/>
        <w:rPr>
          <w:rFonts w:ascii="Arial" w:hAnsi="Arial" w:cs="Arial"/>
          <w:sz w:val="20"/>
          <w:szCs w:val="20"/>
        </w:rPr>
      </w:pPr>
      <w:r w:rsidRPr="000B13F3">
        <w:rPr>
          <w:rFonts w:ascii="Arial" w:hAnsi="Arial" w:cs="Arial"/>
          <w:sz w:val="20"/>
          <w:szCs w:val="20"/>
        </w:rPr>
        <w:t xml:space="preserve">A reconciliation between statutory </w:t>
      </w:r>
      <w:r w:rsidR="005976EE">
        <w:rPr>
          <w:rFonts w:ascii="Arial" w:hAnsi="Arial" w:cs="Arial"/>
          <w:sz w:val="20"/>
          <w:szCs w:val="20"/>
        </w:rPr>
        <w:t xml:space="preserve">loss before tax </w:t>
      </w:r>
      <w:r w:rsidRPr="000B13F3">
        <w:rPr>
          <w:rFonts w:ascii="Arial" w:hAnsi="Arial" w:cs="Arial"/>
          <w:sz w:val="20"/>
          <w:szCs w:val="20"/>
        </w:rPr>
        <w:t xml:space="preserve">and the adjusted </w:t>
      </w:r>
      <w:r w:rsidR="005976EE">
        <w:rPr>
          <w:rFonts w:ascii="Arial" w:hAnsi="Arial" w:cs="Arial"/>
          <w:sz w:val="20"/>
          <w:szCs w:val="20"/>
        </w:rPr>
        <w:t xml:space="preserve">profit before tax </w:t>
      </w:r>
      <w:r w:rsidRPr="000B13F3">
        <w:rPr>
          <w:rFonts w:ascii="Arial" w:hAnsi="Arial" w:cs="Arial"/>
          <w:sz w:val="20"/>
          <w:szCs w:val="20"/>
        </w:rPr>
        <w:t>performance measure is shown below:</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644"/>
        <w:gridCol w:w="1531"/>
        <w:gridCol w:w="1531"/>
      </w:tblGrid>
      <w:tr w:rsidR="005A2FA0" w:rsidRPr="000B13F3" w14:paraId="4CB64AF7" w14:textId="77777777" w:rsidTr="009C56E0">
        <w:trPr>
          <w:gridAfter w:val="3"/>
          <w:wAfter w:w="4706" w:type="dxa"/>
          <w:trHeight w:val="227"/>
        </w:trPr>
        <w:tc>
          <w:tcPr>
            <w:tcW w:w="5102" w:type="dxa"/>
          </w:tcPr>
          <w:p w14:paraId="2A7E5CAE" w14:textId="77777777" w:rsidR="005A2FA0" w:rsidRPr="005D701B" w:rsidRDefault="005A2FA0" w:rsidP="00CB5A5E">
            <w:pPr>
              <w:jc w:val="both"/>
              <w:rPr>
                <w:rFonts w:ascii="Arial" w:hAnsi="Arial" w:cs="Arial"/>
                <w:iCs/>
                <w:sz w:val="20"/>
                <w:szCs w:val="20"/>
              </w:rPr>
            </w:pPr>
          </w:p>
        </w:tc>
      </w:tr>
      <w:tr w:rsidR="005A2FA0" w:rsidRPr="005D701B" w14:paraId="0E802D7B" w14:textId="77777777" w:rsidTr="009C56E0">
        <w:trPr>
          <w:trHeight w:val="340"/>
        </w:trPr>
        <w:tc>
          <w:tcPr>
            <w:tcW w:w="6746" w:type="dxa"/>
            <w:gridSpan w:val="2"/>
            <w:vAlign w:val="bottom"/>
          </w:tcPr>
          <w:p w14:paraId="0866B1B6" w14:textId="38B6B03F" w:rsidR="005A2FA0" w:rsidRPr="00863469" w:rsidRDefault="005A2FA0" w:rsidP="00CB5A5E">
            <w:pPr>
              <w:rPr>
                <w:rFonts w:ascii="Arial" w:hAnsi="Arial" w:cs="Arial"/>
                <w:b/>
                <w:bCs/>
                <w:iCs/>
                <w:sz w:val="20"/>
                <w:szCs w:val="20"/>
              </w:rPr>
            </w:pPr>
          </w:p>
        </w:tc>
        <w:tc>
          <w:tcPr>
            <w:tcW w:w="1531" w:type="dxa"/>
            <w:vAlign w:val="center"/>
          </w:tcPr>
          <w:p w14:paraId="66BC4DA2" w14:textId="539435EE" w:rsidR="005A2FA0" w:rsidRPr="00863469" w:rsidRDefault="005A2FA0" w:rsidP="00CB5A5E">
            <w:pPr>
              <w:jc w:val="right"/>
              <w:rPr>
                <w:rFonts w:ascii="Arial" w:hAnsi="Arial" w:cs="Arial"/>
                <w:b/>
                <w:bCs/>
                <w:sz w:val="20"/>
                <w:szCs w:val="20"/>
              </w:rPr>
            </w:pPr>
            <w:r>
              <w:rPr>
                <w:rFonts w:ascii="Arial" w:hAnsi="Arial" w:cs="Arial"/>
                <w:b/>
                <w:bCs/>
                <w:sz w:val="20"/>
                <w:szCs w:val="20"/>
              </w:rPr>
              <w:t>FY24</w:t>
            </w:r>
          </w:p>
        </w:tc>
        <w:tc>
          <w:tcPr>
            <w:tcW w:w="1531" w:type="dxa"/>
            <w:vAlign w:val="center"/>
          </w:tcPr>
          <w:p w14:paraId="60FB3ABB" w14:textId="122DA455" w:rsidR="005A2FA0" w:rsidRPr="00863469" w:rsidRDefault="005A2FA0" w:rsidP="00CB5A5E">
            <w:pPr>
              <w:jc w:val="right"/>
              <w:rPr>
                <w:rFonts w:ascii="Arial" w:hAnsi="Arial" w:cs="Arial"/>
                <w:b/>
                <w:bCs/>
                <w:sz w:val="20"/>
                <w:szCs w:val="20"/>
              </w:rPr>
            </w:pPr>
            <w:r>
              <w:rPr>
                <w:rFonts w:ascii="Arial" w:hAnsi="Arial" w:cs="Arial"/>
                <w:b/>
                <w:bCs/>
                <w:sz w:val="20"/>
                <w:szCs w:val="20"/>
              </w:rPr>
              <w:t>FY23</w:t>
            </w:r>
          </w:p>
        </w:tc>
      </w:tr>
      <w:tr w:rsidR="005976EE" w:rsidRPr="005D701B" w14:paraId="410C19A9" w14:textId="77777777" w:rsidTr="009C56E0">
        <w:trPr>
          <w:trHeight w:val="340"/>
        </w:trPr>
        <w:tc>
          <w:tcPr>
            <w:tcW w:w="6746" w:type="dxa"/>
            <w:gridSpan w:val="2"/>
            <w:tcBorders>
              <w:bottom w:val="single" w:sz="4" w:space="0" w:color="auto"/>
            </w:tcBorders>
            <w:vAlign w:val="bottom"/>
          </w:tcPr>
          <w:p w14:paraId="7FC5F9E7" w14:textId="77777777" w:rsidR="005976EE" w:rsidRPr="00863469" w:rsidDel="005A2FA0" w:rsidRDefault="005976EE" w:rsidP="00CB5A5E">
            <w:pPr>
              <w:rPr>
                <w:rFonts w:ascii="Arial" w:hAnsi="Arial" w:cs="Arial"/>
                <w:b/>
                <w:bCs/>
                <w:iCs/>
                <w:sz w:val="20"/>
                <w:szCs w:val="20"/>
              </w:rPr>
            </w:pPr>
          </w:p>
        </w:tc>
        <w:tc>
          <w:tcPr>
            <w:tcW w:w="1531" w:type="dxa"/>
            <w:tcBorders>
              <w:bottom w:val="single" w:sz="4" w:space="0" w:color="auto"/>
            </w:tcBorders>
            <w:vAlign w:val="center"/>
          </w:tcPr>
          <w:p w14:paraId="6911051B" w14:textId="1489EFB6" w:rsidR="005976EE" w:rsidRPr="00863469" w:rsidDel="005A2FA0" w:rsidRDefault="005976EE" w:rsidP="00CB5A5E">
            <w:pPr>
              <w:jc w:val="right"/>
              <w:rPr>
                <w:rFonts w:ascii="Arial" w:hAnsi="Arial" w:cs="Arial"/>
                <w:b/>
                <w:bCs/>
                <w:sz w:val="20"/>
                <w:szCs w:val="20"/>
              </w:rPr>
            </w:pPr>
            <w:r>
              <w:rPr>
                <w:rFonts w:ascii="Arial" w:hAnsi="Arial" w:cs="Arial"/>
                <w:b/>
                <w:bCs/>
                <w:sz w:val="20"/>
                <w:szCs w:val="20"/>
              </w:rPr>
              <w:t>£’m</w:t>
            </w:r>
          </w:p>
        </w:tc>
        <w:tc>
          <w:tcPr>
            <w:tcW w:w="1531" w:type="dxa"/>
            <w:tcBorders>
              <w:bottom w:val="single" w:sz="4" w:space="0" w:color="auto"/>
            </w:tcBorders>
            <w:vAlign w:val="center"/>
          </w:tcPr>
          <w:p w14:paraId="4CFDD61E" w14:textId="24942BB8" w:rsidR="005976EE" w:rsidRPr="00863469" w:rsidDel="005A2FA0" w:rsidRDefault="005976EE" w:rsidP="00CB5A5E">
            <w:pPr>
              <w:jc w:val="right"/>
              <w:rPr>
                <w:rFonts w:ascii="Arial" w:hAnsi="Arial" w:cs="Arial"/>
                <w:b/>
                <w:bCs/>
                <w:sz w:val="20"/>
                <w:szCs w:val="20"/>
              </w:rPr>
            </w:pPr>
            <w:r>
              <w:rPr>
                <w:rFonts w:ascii="Arial" w:hAnsi="Arial" w:cs="Arial"/>
                <w:b/>
                <w:bCs/>
                <w:sz w:val="20"/>
                <w:szCs w:val="20"/>
              </w:rPr>
              <w:t>£’m</w:t>
            </w:r>
          </w:p>
        </w:tc>
      </w:tr>
      <w:tr w:rsidR="005A2FA0" w:rsidRPr="005D701B" w14:paraId="25D4F8F5" w14:textId="77777777" w:rsidTr="009C56E0">
        <w:trPr>
          <w:trHeight w:val="340"/>
        </w:trPr>
        <w:tc>
          <w:tcPr>
            <w:tcW w:w="6746" w:type="dxa"/>
            <w:gridSpan w:val="2"/>
            <w:vAlign w:val="center"/>
          </w:tcPr>
          <w:p w14:paraId="665D8100" w14:textId="7C061ECD" w:rsidR="005A2FA0" w:rsidRPr="00863469" w:rsidRDefault="005A2FA0" w:rsidP="00137882">
            <w:pPr>
              <w:rPr>
                <w:rFonts w:ascii="Arial" w:hAnsi="Arial" w:cs="Arial"/>
                <w:b/>
                <w:bCs/>
                <w:sz w:val="20"/>
                <w:szCs w:val="20"/>
              </w:rPr>
            </w:pPr>
            <w:r w:rsidRPr="00863469">
              <w:rPr>
                <w:rFonts w:ascii="Arial" w:hAnsi="Arial" w:cs="Arial"/>
                <w:b/>
                <w:bCs/>
                <w:sz w:val="20"/>
                <w:szCs w:val="20"/>
              </w:rPr>
              <w:t xml:space="preserve">Statutory </w:t>
            </w:r>
            <w:r>
              <w:rPr>
                <w:rFonts w:ascii="Arial" w:hAnsi="Arial" w:cs="Arial"/>
                <w:b/>
                <w:bCs/>
                <w:sz w:val="20"/>
                <w:szCs w:val="20"/>
              </w:rPr>
              <w:t>(loss) before tax</w:t>
            </w:r>
          </w:p>
        </w:tc>
        <w:tc>
          <w:tcPr>
            <w:tcW w:w="1531" w:type="dxa"/>
            <w:vAlign w:val="center"/>
          </w:tcPr>
          <w:p w14:paraId="2C2ADB7B" w14:textId="3DC22ACD" w:rsidR="005A2FA0" w:rsidRPr="00863469" w:rsidRDefault="005A2FA0" w:rsidP="00137882">
            <w:pPr>
              <w:jc w:val="right"/>
              <w:rPr>
                <w:rFonts w:ascii="Arial" w:hAnsi="Arial" w:cs="Arial"/>
                <w:b/>
                <w:bCs/>
                <w:sz w:val="20"/>
                <w:szCs w:val="20"/>
              </w:rPr>
            </w:pPr>
            <w:r w:rsidRPr="00863469">
              <w:rPr>
                <w:rFonts w:ascii="Arial" w:hAnsi="Arial" w:cs="Arial"/>
                <w:b/>
                <w:bCs/>
                <w:sz w:val="20"/>
                <w:szCs w:val="20"/>
              </w:rPr>
              <w:t>(</w:t>
            </w:r>
            <w:r w:rsidR="005976EE">
              <w:rPr>
                <w:rFonts w:ascii="Arial" w:hAnsi="Arial" w:cs="Arial"/>
                <w:b/>
                <w:bCs/>
                <w:sz w:val="20"/>
                <w:szCs w:val="20"/>
              </w:rPr>
              <w:t>10.9</w:t>
            </w:r>
            <w:r w:rsidRPr="00863469">
              <w:rPr>
                <w:rFonts w:ascii="Arial" w:hAnsi="Arial" w:cs="Arial"/>
                <w:b/>
                <w:bCs/>
                <w:sz w:val="20"/>
                <w:szCs w:val="20"/>
              </w:rPr>
              <w:t>)</w:t>
            </w:r>
          </w:p>
        </w:tc>
        <w:tc>
          <w:tcPr>
            <w:tcW w:w="1531" w:type="dxa"/>
            <w:vAlign w:val="center"/>
          </w:tcPr>
          <w:p w14:paraId="0332C88A" w14:textId="5CF0E0D3" w:rsidR="005A2FA0" w:rsidRPr="00863469" w:rsidRDefault="005976EE" w:rsidP="00137882">
            <w:pPr>
              <w:jc w:val="right"/>
              <w:rPr>
                <w:rFonts w:ascii="Arial" w:hAnsi="Arial" w:cs="Arial"/>
                <w:b/>
                <w:bCs/>
                <w:sz w:val="20"/>
                <w:szCs w:val="20"/>
              </w:rPr>
            </w:pPr>
            <w:r>
              <w:rPr>
                <w:rFonts w:ascii="Arial" w:hAnsi="Arial" w:cs="Arial"/>
                <w:b/>
                <w:bCs/>
                <w:sz w:val="20"/>
                <w:szCs w:val="20"/>
              </w:rPr>
              <w:t>(6.9)</w:t>
            </w:r>
          </w:p>
        </w:tc>
      </w:tr>
      <w:tr w:rsidR="005A2FA0" w:rsidRPr="005D701B" w14:paraId="31CE36D7" w14:textId="77777777" w:rsidTr="009C56E0">
        <w:trPr>
          <w:trHeight w:val="340"/>
        </w:trPr>
        <w:tc>
          <w:tcPr>
            <w:tcW w:w="6746" w:type="dxa"/>
            <w:gridSpan w:val="2"/>
            <w:vAlign w:val="center"/>
          </w:tcPr>
          <w:p w14:paraId="765F8FAA" w14:textId="7D42CEE8" w:rsidR="005A2FA0" w:rsidRPr="00863469" w:rsidRDefault="005A2FA0" w:rsidP="00137882">
            <w:pPr>
              <w:rPr>
                <w:rFonts w:ascii="Arial" w:hAnsi="Arial" w:cs="Arial"/>
                <w:sz w:val="20"/>
                <w:szCs w:val="20"/>
              </w:rPr>
            </w:pPr>
            <w:r w:rsidRPr="00863469">
              <w:rPr>
                <w:rFonts w:ascii="Arial" w:hAnsi="Arial" w:cs="Arial"/>
                <w:sz w:val="20"/>
                <w:szCs w:val="20"/>
              </w:rPr>
              <w:t>Acquisition and disposal costs (including strategic review costs)</w:t>
            </w:r>
          </w:p>
        </w:tc>
        <w:tc>
          <w:tcPr>
            <w:tcW w:w="1531" w:type="dxa"/>
            <w:vAlign w:val="center"/>
          </w:tcPr>
          <w:p w14:paraId="4B176398" w14:textId="1FEDDD24" w:rsidR="005A2FA0" w:rsidRPr="00863469" w:rsidRDefault="005976EE" w:rsidP="00137882">
            <w:pPr>
              <w:jc w:val="right"/>
              <w:rPr>
                <w:rFonts w:ascii="Arial" w:hAnsi="Arial" w:cs="Arial"/>
                <w:sz w:val="20"/>
                <w:szCs w:val="20"/>
              </w:rPr>
            </w:pPr>
            <w:r>
              <w:rPr>
                <w:rFonts w:ascii="Arial" w:hAnsi="Arial" w:cs="Arial"/>
                <w:sz w:val="20"/>
                <w:szCs w:val="20"/>
              </w:rPr>
              <w:t>7.8</w:t>
            </w:r>
          </w:p>
        </w:tc>
        <w:tc>
          <w:tcPr>
            <w:tcW w:w="1531" w:type="dxa"/>
            <w:vAlign w:val="center"/>
          </w:tcPr>
          <w:p w14:paraId="5B549B5A" w14:textId="0349636E" w:rsidR="005A2FA0" w:rsidRPr="00863469" w:rsidRDefault="005976EE" w:rsidP="00137882">
            <w:pPr>
              <w:jc w:val="right"/>
              <w:rPr>
                <w:rFonts w:ascii="Arial" w:hAnsi="Arial" w:cs="Arial"/>
                <w:sz w:val="20"/>
                <w:szCs w:val="20"/>
              </w:rPr>
            </w:pPr>
            <w:r>
              <w:rPr>
                <w:rFonts w:ascii="Arial" w:hAnsi="Arial" w:cs="Arial"/>
                <w:sz w:val="20"/>
                <w:szCs w:val="20"/>
              </w:rPr>
              <w:t>2.7</w:t>
            </w:r>
          </w:p>
        </w:tc>
      </w:tr>
      <w:tr w:rsidR="005A2FA0" w:rsidRPr="005D701B" w14:paraId="47FF0041" w14:textId="77777777" w:rsidTr="009C56E0">
        <w:trPr>
          <w:trHeight w:val="340"/>
        </w:trPr>
        <w:tc>
          <w:tcPr>
            <w:tcW w:w="6746" w:type="dxa"/>
            <w:gridSpan w:val="2"/>
            <w:vAlign w:val="center"/>
          </w:tcPr>
          <w:p w14:paraId="4F1AB4D0" w14:textId="77777777" w:rsidR="005A2FA0" w:rsidRPr="00863469" w:rsidRDefault="005A2FA0" w:rsidP="00137882">
            <w:pPr>
              <w:rPr>
                <w:rFonts w:ascii="Arial" w:hAnsi="Arial" w:cs="Arial"/>
                <w:sz w:val="20"/>
                <w:szCs w:val="20"/>
              </w:rPr>
            </w:pPr>
            <w:r w:rsidRPr="00863469">
              <w:rPr>
                <w:rFonts w:ascii="Arial" w:hAnsi="Arial" w:cs="Arial"/>
                <w:sz w:val="20"/>
                <w:szCs w:val="20"/>
              </w:rPr>
              <w:t>Restructuring costs</w:t>
            </w:r>
          </w:p>
        </w:tc>
        <w:tc>
          <w:tcPr>
            <w:tcW w:w="1531" w:type="dxa"/>
            <w:vAlign w:val="center"/>
          </w:tcPr>
          <w:p w14:paraId="4E97802E" w14:textId="31783307" w:rsidR="005A2FA0" w:rsidRPr="00863469" w:rsidRDefault="005976EE" w:rsidP="00137882">
            <w:pPr>
              <w:jc w:val="right"/>
              <w:rPr>
                <w:rFonts w:ascii="Arial" w:hAnsi="Arial" w:cs="Arial"/>
                <w:sz w:val="20"/>
                <w:szCs w:val="20"/>
              </w:rPr>
            </w:pPr>
            <w:r>
              <w:rPr>
                <w:rFonts w:ascii="Arial" w:hAnsi="Arial" w:cs="Arial"/>
                <w:sz w:val="20"/>
                <w:szCs w:val="20"/>
              </w:rPr>
              <w:t>18.2</w:t>
            </w:r>
          </w:p>
        </w:tc>
        <w:tc>
          <w:tcPr>
            <w:tcW w:w="1531" w:type="dxa"/>
            <w:vAlign w:val="center"/>
          </w:tcPr>
          <w:p w14:paraId="251D3EC7" w14:textId="6B4A52A2" w:rsidR="005A2FA0" w:rsidRPr="00863469" w:rsidRDefault="005976EE" w:rsidP="00137882">
            <w:pPr>
              <w:jc w:val="right"/>
              <w:rPr>
                <w:rFonts w:ascii="Arial" w:hAnsi="Arial" w:cs="Arial"/>
                <w:sz w:val="20"/>
                <w:szCs w:val="20"/>
              </w:rPr>
            </w:pPr>
            <w:r>
              <w:rPr>
                <w:rFonts w:ascii="Arial" w:hAnsi="Arial" w:cs="Arial"/>
                <w:sz w:val="20"/>
                <w:szCs w:val="20"/>
              </w:rPr>
              <w:t>21.1</w:t>
            </w:r>
          </w:p>
        </w:tc>
      </w:tr>
      <w:tr w:rsidR="005A2FA0" w:rsidRPr="005D701B" w14:paraId="2852D8BE" w14:textId="77777777" w:rsidTr="009C56E0">
        <w:trPr>
          <w:trHeight w:val="340"/>
        </w:trPr>
        <w:tc>
          <w:tcPr>
            <w:tcW w:w="6746" w:type="dxa"/>
            <w:gridSpan w:val="2"/>
            <w:vAlign w:val="center"/>
          </w:tcPr>
          <w:p w14:paraId="1CB98CF7" w14:textId="2931FA6D" w:rsidR="005A2FA0" w:rsidRPr="00863469" w:rsidRDefault="005A2FA0" w:rsidP="00137882">
            <w:pPr>
              <w:rPr>
                <w:rFonts w:ascii="Arial" w:hAnsi="Arial" w:cs="Arial"/>
                <w:sz w:val="20"/>
                <w:szCs w:val="20"/>
              </w:rPr>
            </w:pPr>
            <w:r w:rsidRPr="00863469">
              <w:rPr>
                <w:rFonts w:ascii="Arial" w:hAnsi="Arial" w:cs="Arial"/>
                <w:sz w:val="20"/>
                <w:szCs w:val="20"/>
              </w:rPr>
              <w:t>Amortisation of acquired intangibles</w:t>
            </w:r>
          </w:p>
        </w:tc>
        <w:tc>
          <w:tcPr>
            <w:tcW w:w="1531" w:type="dxa"/>
            <w:vAlign w:val="center"/>
          </w:tcPr>
          <w:p w14:paraId="1561A0EC" w14:textId="1D50FF73" w:rsidR="005A2FA0" w:rsidRPr="00863469" w:rsidRDefault="005976EE" w:rsidP="00137882">
            <w:pPr>
              <w:jc w:val="right"/>
              <w:rPr>
                <w:rFonts w:ascii="Arial" w:hAnsi="Arial" w:cs="Arial"/>
                <w:sz w:val="20"/>
                <w:szCs w:val="20"/>
              </w:rPr>
            </w:pPr>
            <w:r>
              <w:rPr>
                <w:rFonts w:ascii="Arial" w:hAnsi="Arial" w:cs="Arial"/>
                <w:sz w:val="20"/>
                <w:szCs w:val="20"/>
              </w:rPr>
              <w:t>25.6</w:t>
            </w:r>
          </w:p>
        </w:tc>
        <w:tc>
          <w:tcPr>
            <w:tcW w:w="1531" w:type="dxa"/>
            <w:vAlign w:val="center"/>
          </w:tcPr>
          <w:p w14:paraId="5D673242" w14:textId="47649626" w:rsidR="005A2FA0" w:rsidRPr="00863469" w:rsidRDefault="005976EE" w:rsidP="00137882">
            <w:pPr>
              <w:jc w:val="right"/>
              <w:rPr>
                <w:rFonts w:ascii="Arial" w:hAnsi="Arial" w:cs="Arial"/>
                <w:sz w:val="20"/>
                <w:szCs w:val="20"/>
              </w:rPr>
            </w:pPr>
            <w:r>
              <w:rPr>
                <w:rFonts w:ascii="Arial" w:hAnsi="Arial" w:cs="Arial"/>
                <w:sz w:val="20"/>
                <w:szCs w:val="20"/>
              </w:rPr>
              <w:t>24.0</w:t>
            </w:r>
          </w:p>
        </w:tc>
      </w:tr>
      <w:tr w:rsidR="005A2FA0" w:rsidRPr="005D701B" w14:paraId="377255C3" w14:textId="77777777" w:rsidTr="009C56E0">
        <w:trPr>
          <w:trHeight w:val="340"/>
        </w:trPr>
        <w:tc>
          <w:tcPr>
            <w:tcW w:w="6746" w:type="dxa"/>
            <w:gridSpan w:val="2"/>
            <w:vAlign w:val="center"/>
          </w:tcPr>
          <w:p w14:paraId="0D51C47F" w14:textId="114DE21B" w:rsidR="005A2FA0" w:rsidRPr="00863469" w:rsidRDefault="005A2FA0" w:rsidP="00137882">
            <w:pPr>
              <w:rPr>
                <w:rFonts w:ascii="Arial" w:hAnsi="Arial" w:cs="Arial"/>
                <w:sz w:val="20"/>
                <w:szCs w:val="20"/>
              </w:rPr>
            </w:pPr>
            <w:r w:rsidRPr="00863469">
              <w:rPr>
                <w:rFonts w:ascii="Arial" w:hAnsi="Arial" w:cs="Arial"/>
                <w:sz w:val="20"/>
                <w:szCs w:val="20"/>
              </w:rPr>
              <w:t>Share-based payments (excluding SAYE schemes)</w:t>
            </w:r>
          </w:p>
        </w:tc>
        <w:tc>
          <w:tcPr>
            <w:tcW w:w="1531" w:type="dxa"/>
            <w:vAlign w:val="center"/>
          </w:tcPr>
          <w:p w14:paraId="14EBFCF4" w14:textId="7A80097E" w:rsidR="005A2FA0" w:rsidRPr="00863469" w:rsidRDefault="005A2FA0" w:rsidP="00137882">
            <w:pPr>
              <w:jc w:val="right"/>
              <w:rPr>
                <w:rFonts w:ascii="Arial" w:hAnsi="Arial" w:cs="Arial"/>
                <w:sz w:val="20"/>
                <w:szCs w:val="20"/>
              </w:rPr>
            </w:pPr>
            <w:r>
              <w:rPr>
                <w:rFonts w:ascii="Arial" w:hAnsi="Arial" w:cs="Arial"/>
                <w:sz w:val="20"/>
                <w:szCs w:val="20"/>
              </w:rPr>
              <w:t>(0.8)</w:t>
            </w:r>
          </w:p>
        </w:tc>
        <w:tc>
          <w:tcPr>
            <w:tcW w:w="1531" w:type="dxa"/>
            <w:vAlign w:val="center"/>
          </w:tcPr>
          <w:p w14:paraId="3C53D4B0" w14:textId="78E1128F" w:rsidR="005A2FA0" w:rsidRPr="00863469" w:rsidRDefault="005976EE" w:rsidP="00137882">
            <w:pPr>
              <w:jc w:val="right"/>
              <w:rPr>
                <w:rFonts w:ascii="Arial" w:hAnsi="Arial" w:cs="Arial"/>
                <w:sz w:val="20"/>
                <w:szCs w:val="20"/>
              </w:rPr>
            </w:pPr>
            <w:r>
              <w:rPr>
                <w:rFonts w:ascii="Arial" w:hAnsi="Arial" w:cs="Arial"/>
                <w:sz w:val="20"/>
                <w:szCs w:val="20"/>
              </w:rPr>
              <w:t>1.7</w:t>
            </w:r>
          </w:p>
        </w:tc>
      </w:tr>
      <w:tr w:rsidR="005A2FA0" w:rsidRPr="005D701B" w14:paraId="232FB7BE" w14:textId="77777777" w:rsidTr="009C56E0">
        <w:trPr>
          <w:trHeight w:val="340"/>
        </w:trPr>
        <w:tc>
          <w:tcPr>
            <w:tcW w:w="6746" w:type="dxa"/>
            <w:gridSpan w:val="2"/>
            <w:vAlign w:val="center"/>
          </w:tcPr>
          <w:p w14:paraId="2B9245EA" w14:textId="73E7D23D" w:rsidR="005A2FA0" w:rsidRPr="00863469" w:rsidRDefault="005A2FA0" w:rsidP="00137882">
            <w:pPr>
              <w:rPr>
                <w:rFonts w:ascii="Arial" w:hAnsi="Arial" w:cs="Arial"/>
                <w:sz w:val="20"/>
                <w:szCs w:val="20"/>
              </w:rPr>
            </w:pPr>
            <w:r w:rsidRPr="00863469">
              <w:rPr>
                <w:rFonts w:ascii="Arial" w:hAnsi="Arial" w:cs="Arial"/>
                <w:sz w:val="20"/>
                <w:szCs w:val="20"/>
              </w:rPr>
              <w:t>Fair value losses in contingent consideration and acquisition related incentive schemes</w:t>
            </w:r>
          </w:p>
        </w:tc>
        <w:tc>
          <w:tcPr>
            <w:tcW w:w="1531" w:type="dxa"/>
            <w:vAlign w:val="center"/>
          </w:tcPr>
          <w:p w14:paraId="2590F93A" w14:textId="308BBFFB" w:rsidR="005A2FA0" w:rsidRPr="00863469" w:rsidRDefault="005A2FA0" w:rsidP="00137882">
            <w:pPr>
              <w:jc w:val="right"/>
              <w:rPr>
                <w:rFonts w:ascii="Arial" w:hAnsi="Arial" w:cs="Arial"/>
                <w:sz w:val="20"/>
                <w:szCs w:val="20"/>
              </w:rPr>
            </w:pPr>
            <w:r w:rsidRPr="00863469">
              <w:rPr>
                <w:rFonts w:ascii="Arial" w:hAnsi="Arial" w:cs="Arial"/>
                <w:sz w:val="20"/>
                <w:szCs w:val="20"/>
              </w:rPr>
              <w:t>5.0</w:t>
            </w:r>
          </w:p>
        </w:tc>
        <w:tc>
          <w:tcPr>
            <w:tcW w:w="1531" w:type="dxa"/>
            <w:vAlign w:val="center"/>
          </w:tcPr>
          <w:p w14:paraId="45B5EA08" w14:textId="6D91E139" w:rsidR="005A2FA0" w:rsidRPr="00863469" w:rsidRDefault="005976EE" w:rsidP="00137882">
            <w:pPr>
              <w:jc w:val="right"/>
              <w:rPr>
                <w:rFonts w:ascii="Arial" w:hAnsi="Arial" w:cs="Arial"/>
                <w:sz w:val="20"/>
                <w:szCs w:val="20"/>
              </w:rPr>
            </w:pPr>
            <w:r>
              <w:rPr>
                <w:rFonts w:ascii="Arial" w:hAnsi="Arial" w:cs="Arial"/>
                <w:sz w:val="20"/>
                <w:szCs w:val="20"/>
              </w:rPr>
              <w:t>8.4</w:t>
            </w:r>
          </w:p>
        </w:tc>
      </w:tr>
      <w:tr w:rsidR="005A2FA0" w:rsidRPr="005D701B" w14:paraId="70C58F6C" w14:textId="77777777" w:rsidTr="009C56E0">
        <w:trPr>
          <w:trHeight w:val="340"/>
        </w:trPr>
        <w:tc>
          <w:tcPr>
            <w:tcW w:w="6746" w:type="dxa"/>
            <w:gridSpan w:val="2"/>
            <w:vAlign w:val="center"/>
          </w:tcPr>
          <w:p w14:paraId="366D89E5" w14:textId="72655126" w:rsidR="005A2FA0" w:rsidRPr="00863469" w:rsidRDefault="005A2FA0" w:rsidP="00137882">
            <w:pPr>
              <w:rPr>
                <w:rFonts w:ascii="Arial" w:hAnsi="Arial" w:cs="Arial"/>
                <w:sz w:val="20"/>
                <w:szCs w:val="20"/>
              </w:rPr>
            </w:pPr>
            <w:r w:rsidRPr="00863469">
              <w:rPr>
                <w:rFonts w:ascii="Arial" w:hAnsi="Arial" w:cs="Arial"/>
                <w:sz w:val="20"/>
                <w:szCs w:val="20"/>
              </w:rPr>
              <w:t>Exceptional finance costs</w:t>
            </w:r>
          </w:p>
        </w:tc>
        <w:tc>
          <w:tcPr>
            <w:tcW w:w="1531" w:type="dxa"/>
            <w:vAlign w:val="center"/>
          </w:tcPr>
          <w:p w14:paraId="234FF74D" w14:textId="107A297E" w:rsidR="005A2FA0" w:rsidRPr="00863469" w:rsidRDefault="005976EE" w:rsidP="00137882">
            <w:pPr>
              <w:jc w:val="right"/>
              <w:rPr>
                <w:rFonts w:ascii="Arial" w:hAnsi="Arial" w:cs="Arial"/>
                <w:sz w:val="20"/>
                <w:szCs w:val="20"/>
              </w:rPr>
            </w:pPr>
            <w:r>
              <w:rPr>
                <w:rFonts w:ascii="Arial" w:hAnsi="Arial" w:cs="Arial"/>
                <w:sz w:val="20"/>
                <w:szCs w:val="20"/>
              </w:rPr>
              <w:t>1.9</w:t>
            </w:r>
          </w:p>
        </w:tc>
        <w:tc>
          <w:tcPr>
            <w:tcW w:w="1531" w:type="dxa"/>
            <w:vAlign w:val="center"/>
          </w:tcPr>
          <w:p w14:paraId="4DCF0808" w14:textId="39967BE6" w:rsidR="005A2FA0" w:rsidRPr="00863469" w:rsidRDefault="005976EE" w:rsidP="00137882">
            <w:pPr>
              <w:jc w:val="right"/>
              <w:rPr>
                <w:rFonts w:ascii="Arial" w:hAnsi="Arial" w:cs="Arial"/>
                <w:sz w:val="20"/>
                <w:szCs w:val="20"/>
              </w:rPr>
            </w:pPr>
            <w:r>
              <w:rPr>
                <w:rFonts w:ascii="Arial" w:hAnsi="Arial" w:cs="Arial"/>
                <w:sz w:val="20"/>
                <w:szCs w:val="20"/>
              </w:rPr>
              <w:t>2.6</w:t>
            </w:r>
          </w:p>
        </w:tc>
      </w:tr>
      <w:tr w:rsidR="005A2FA0" w:rsidRPr="005D701B" w14:paraId="1A2D3296" w14:textId="77777777" w:rsidTr="009C56E0">
        <w:trPr>
          <w:trHeight w:val="340"/>
        </w:trPr>
        <w:tc>
          <w:tcPr>
            <w:tcW w:w="6746" w:type="dxa"/>
            <w:gridSpan w:val="2"/>
            <w:tcBorders>
              <w:top w:val="single" w:sz="4" w:space="0" w:color="auto"/>
            </w:tcBorders>
            <w:vAlign w:val="center"/>
          </w:tcPr>
          <w:p w14:paraId="58DE1877" w14:textId="1508E2B9" w:rsidR="005A2FA0" w:rsidRPr="00863469" w:rsidRDefault="005A2FA0" w:rsidP="00137882">
            <w:pPr>
              <w:rPr>
                <w:rFonts w:ascii="Arial" w:hAnsi="Arial" w:cs="Arial"/>
                <w:b/>
                <w:bCs/>
                <w:sz w:val="20"/>
                <w:szCs w:val="20"/>
              </w:rPr>
            </w:pPr>
            <w:r w:rsidRPr="00863469">
              <w:rPr>
                <w:rFonts w:ascii="Arial" w:hAnsi="Arial" w:cs="Arial"/>
                <w:b/>
                <w:bCs/>
                <w:sz w:val="20"/>
                <w:szCs w:val="20"/>
              </w:rPr>
              <w:t xml:space="preserve">Adjusted </w:t>
            </w:r>
            <w:r>
              <w:rPr>
                <w:rFonts w:ascii="Arial" w:hAnsi="Arial" w:cs="Arial"/>
                <w:b/>
                <w:bCs/>
                <w:sz w:val="20"/>
                <w:szCs w:val="20"/>
              </w:rPr>
              <w:t xml:space="preserve">profit before tax </w:t>
            </w:r>
          </w:p>
        </w:tc>
        <w:tc>
          <w:tcPr>
            <w:tcW w:w="1531" w:type="dxa"/>
            <w:tcBorders>
              <w:top w:val="single" w:sz="4" w:space="0" w:color="auto"/>
            </w:tcBorders>
            <w:vAlign w:val="center"/>
          </w:tcPr>
          <w:p w14:paraId="5B5D627F" w14:textId="10EE8350" w:rsidR="005A2FA0" w:rsidRPr="00863469" w:rsidRDefault="005976EE" w:rsidP="00137882">
            <w:pPr>
              <w:jc w:val="right"/>
              <w:rPr>
                <w:rFonts w:ascii="Arial" w:hAnsi="Arial" w:cs="Arial"/>
                <w:b/>
                <w:bCs/>
                <w:sz w:val="20"/>
                <w:szCs w:val="20"/>
              </w:rPr>
            </w:pPr>
            <w:r>
              <w:rPr>
                <w:rFonts w:ascii="Arial" w:hAnsi="Arial" w:cs="Arial"/>
                <w:b/>
                <w:bCs/>
                <w:sz w:val="20"/>
                <w:szCs w:val="20"/>
              </w:rPr>
              <w:t>46.8</w:t>
            </w:r>
          </w:p>
        </w:tc>
        <w:tc>
          <w:tcPr>
            <w:tcW w:w="1531" w:type="dxa"/>
            <w:tcBorders>
              <w:top w:val="single" w:sz="4" w:space="0" w:color="auto"/>
            </w:tcBorders>
            <w:vAlign w:val="center"/>
          </w:tcPr>
          <w:p w14:paraId="2898971A" w14:textId="29305F11" w:rsidR="005A2FA0" w:rsidRPr="00863469" w:rsidRDefault="005976EE" w:rsidP="00137882">
            <w:pPr>
              <w:jc w:val="right"/>
              <w:rPr>
                <w:rFonts w:ascii="Arial" w:hAnsi="Arial" w:cs="Arial"/>
                <w:b/>
                <w:bCs/>
                <w:sz w:val="20"/>
                <w:szCs w:val="20"/>
              </w:rPr>
            </w:pPr>
            <w:r>
              <w:rPr>
                <w:rFonts w:ascii="Arial" w:hAnsi="Arial" w:cs="Arial"/>
                <w:b/>
                <w:bCs/>
                <w:sz w:val="20"/>
                <w:szCs w:val="20"/>
              </w:rPr>
              <w:t>53.6</w:t>
            </w:r>
          </w:p>
        </w:tc>
      </w:tr>
    </w:tbl>
    <w:p w14:paraId="6A63B2E0" w14:textId="25E17BE5" w:rsidR="00CA358A" w:rsidRPr="000B13F3" w:rsidRDefault="00763531" w:rsidP="00CA358A">
      <w:pPr>
        <w:jc w:val="both"/>
        <w:rPr>
          <w:rFonts w:ascii="Arial" w:hAnsi="Arial" w:cs="Arial"/>
          <w:sz w:val="20"/>
          <w:szCs w:val="20"/>
        </w:rPr>
      </w:pPr>
      <w:r>
        <w:rPr>
          <w:rFonts w:ascii="Arial" w:hAnsi="Arial" w:cs="Arial"/>
          <w:b/>
          <w:bCs/>
          <w:sz w:val="20"/>
          <w:szCs w:val="20"/>
        </w:rPr>
        <w:lastRenderedPageBreak/>
        <w:t>Adjusting items</w:t>
      </w:r>
    </w:p>
    <w:p w14:paraId="0B50D103" w14:textId="750F6639" w:rsidR="008B0071" w:rsidRPr="008B0071" w:rsidRDefault="002959ED" w:rsidP="008B0071">
      <w:pPr>
        <w:jc w:val="both"/>
        <w:rPr>
          <w:rFonts w:ascii="Arial" w:hAnsi="Arial" w:cs="Arial"/>
          <w:sz w:val="20"/>
          <w:szCs w:val="20"/>
        </w:rPr>
      </w:pPr>
      <w:r w:rsidRPr="000B13F3">
        <w:rPr>
          <w:rFonts w:ascii="Arial" w:hAnsi="Arial" w:cs="Arial"/>
          <w:sz w:val="20"/>
          <w:szCs w:val="20"/>
        </w:rPr>
        <w:t xml:space="preserve">Acquisition and </w:t>
      </w:r>
      <w:r w:rsidR="008B0071">
        <w:rPr>
          <w:rFonts w:ascii="Arial" w:hAnsi="Arial" w:cs="Arial"/>
          <w:sz w:val="20"/>
          <w:szCs w:val="20"/>
        </w:rPr>
        <w:t xml:space="preserve">disposal </w:t>
      </w:r>
      <w:r w:rsidRPr="000B13F3">
        <w:rPr>
          <w:rFonts w:ascii="Arial" w:hAnsi="Arial" w:cs="Arial"/>
          <w:sz w:val="20"/>
          <w:szCs w:val="20"/>
        </w:rPr>
        <w:t xml:space="preserve">costs </w:t>
      </w:r>
      <w:r w:rsidR="008B0071">
        <w:rPr>
          <w:rFonts w:ascii="Arial" w:hAnsi="Arial" w:cs="Arial"/>
          <w:sz w:val="20"/>
          <w:szCs w:val="20"/>
        </w:rPr>
        <w:t xml:space="preserve">(including strategic review costs) </w:t>
      </w:r>
      <w:r w:rsidRPr="000B13F3">
        <w:rPr>
          <w:rFonts w:ascii="Arial" w:hAnsi="Arial" w:cs="Arial"/>
          <w:sz w:val="20"/>
          <w:szCs w:val="20"/>
        </w:rPr>
        <w:t>totalled £</w:t>
      </w:r>
      <w:r w:rsidR="005976EE">
        <w:rPr>
          <w:rFonts w:ascii="Arial" w:hAnsi="Arial" w:cs="Arial"/>
          <w:sz w:val="20"/>
          <w:szCs w:val="20"/>
        </w:rPr>
        <w:t>7.8</w:t>
      </w:r>
      <w:r w:rsidR="008B0071">
        <w:rPr>
          <w:rFonts w:ascii="Arial" w:hAnsi="Arial" w:cs="Arial"/>
          <w:sz w:val="20"/>
          <w:szCs w:val="20"/>
        </w:rPr>
        <w:t xml:space="preserve"> </w:t>
      </w:r>
      <w:r w:rsidRPr="000B13F3">
        <w:rPr>
          <w:rFonts w:ascii="Arial" w:hAnsi="Arial" w:cs="Arial"/>
          <w:sz w:val="20"/>
          <w:szCs w:val="20"/>
        </w:rPr>
        <w:t>million in the year (FY2</w:t>
      </w:r>
      <w:r w:rsidR="008B0071">
        <w:rPr>
          <w:rFonts w:ascii="Arial" w:hAnsi="Arial" w:cs="Arial"/>
          <w:sz w:val="20"/>
          <w:szCs w:val="20"/>
        </w:rPr>
        <w:t>3</w:t>
      </w:r>
      <w:r w:rsidRPr="000B13F3">
        <w:rPr>
          <w:rFonts w:ascii="Arial" w:hAnsi="Arial" w:cs="Arial"/>
          <w:sz w:val="20"/>
          <w:szCs w:val="20"/>
        </w:rPr>
        <w:t>: £</w:t>
      </w:r>
      <w:r w:rsidR="005976EE">
        <w:rPr>
          <w:rFonts w:ascii="Arial" w:hAnsi="Arial" w:cs="Arial"/>
          <w:sz w:val="20"/>
          <w:szCs w:val="20"/>
        </w:rPr>
        <w:t>2.7</w:t>
      </w:r>
      <w:r w:rsidR="008B0071">
        <w:rPr>
          <w:rFonts w:ascii="Arial" w:hAnsi="Arial" w:cs="Arial"/>
          <w:sz w:val="20"/>
          <w:szCs w:val="20"/>
        </w:rPr>
        <w:t xml:space="preserve"> </w:t>
      </w:r>
      <w:r w:rsidRPr="000B13F3">
        <w:rPr>
          <w:rFonts w:ascii="Arial" w:hAnsi="Arial" w:cs="Arial"/>
          <w:sz w:val="20"/>
          <w:szCs w:val="20"/>
        </w:rPr>
        <w:t xml:space="preserve">million). </w:t>
      </w:r>
      <w:r w:rsidR="008B0071">
        <w:rPr>
          <w:rFonts w:ascii="Arial" w:hAnsi="Arial" w:cs="Arial"/>
          <w:sz w:val="20"/>
          <w:szCs w:val="20"/>
        </w:rPr>
        <w:t xml:space="preserve">During the first half of the year </w:t>
      </w:r>
      <w:r w:rsidR="008B0071" w:rsidRPr="008B0071">
        <w:rPr>
          <w:rFonts w:ascii="Arial" w:hAnsi="Arial" w:cs="Arial"/>
          <w:sz w:val="20"/>
          <w:szCs w:val="20"/>
        </w:rPr>
        <w:t xml:space="preserve">the Group </w:t>
      </w:r>
      <w:r w:rsidR="008B0071">
        <w:rPr>
          <w:rFonts w:ascii="Arial" w:hAnsi="Arial" w:cs="Arial"/>
          <w:sz w:val="20"/>
          <w:szCs w:val="20"/>
        </w:rPr>
        <w:t xml:space="preserve">undertook </w:t>
      </w:r>
      <w:r w:rsidR="008B0071" w:rsidRPr="008B0071">
        <w:rPr>
          <w:rFonts w:ascii="Arial" w:hAnsi="Arial" w:cs="Arial"/>
          <w:sz w:val="20"/>
          <w:szCs w:val="20"/>
        </w:rPr>
        <w:t xml:space="preserve">a strategic review </w:t>
      </w:r>
      <w:r w:rsidR="008B0071">
        <w:rPr>
          <w:rFonts w:ascii="Arial" w:hAnsi="Arial" w:cs="Arial"/>
          <w:sz w:val="20"/>
          <w:szCs w:val="20"/>
        </w:rPr>
        <w:t xml:space="preserve">to </w:t>
      </w:r>
      <w:r w:rsidR="008B0071" w:rsidRPr="008B0071">
        <w:rPr>
          <w:rFonts w:ascii="Arial" w:hAnsi="Arial" w:cs="Arial"/>
          <w:sz w:val="20"/>
          <w:szCs w:val="20"/>
        </w:rPr>
        <w:t>assess the merits of</w:t>
      </w:r>
      <w:r w:rsidR="008B0071">
        <w:rPr>
          <w:rFonts w:ascii="Arial" w:hAnsi="Arial" w:cs="Arial"/>
          <w:sz w:val="20"/>
          <w:szCs w:val="20"/>
        </w:rPr>
        <w:t xml:space="preserve"> </w:t>
      </w:r>
      <w:r w:rsidR="008B0071" w:rsidRPr="008B0071">
        <w:rPr>
          <w:rFonts w:ascii="Arial" w:hAnsi="Arial" w:cs="Arial"/>
          <w:sz w:val="20"/>
          <w:szCs w:val="20"/>
        </w:rPr>
        <w:t>a potential separation of certain businesses across its TIC and GRC Divisions. Strategic Review costs include</w:t>
      </w:r>
      <w:r w:rsidR="008B0071">
        <w:rPr>
          <w:rFonts w:ascii="Arial" w:hAnsi="Arial" w:cs="Arial"/>
          <w:sz w:val="20"/>
          <w:szCs w:val="20"/>
        </w:rPr>
        <w:t xml:space="preserve"> </w:t>
      </w:r>
      <w:r w:rsidR="008B0071" w:rsidRPr="008B0071">
        <w:rPr>
          <w:rFonts w:ascii="Arial" w:hAnsi="Arial" w:cs="Arial"/>
          <w:sz w:val="20"/>
          <w:szCs w:val="20"/>
        </w:rPr>
        <w:t>professional fees, legal fees and staff costs. These costs are non-recurring and not considered to be reflective</w:t>
      </w:r>
      <w:r w:rsidR="008B0071">
        <w:rPr>
          <w:rFonts w:ascii="Arial" w:hAnsi="Arial" w:cs="Arial"/>
          <w:sz w:val="20"/>
          <w:szCs w:val="20"/>
        </w:rPr>
        <w:t xml:space="preserve"> </w:t>
      </w:r>
      <w:r w:rsidR="008B0071" w:rsidRPr="008B0071">
        <w:rPr>
          <w:rFonts w:ascii="Arial" w:hAnsi="Arial" w:cs="Arial"/>
          <w:sz w:val="20"/>
          <w:szCs w:val="20"/>
        </w:rPr>
        <w:t>of the underlying trading performance</w:t>
      </w:r>
      <w:r w:rsidR="00C539ED">
        <w:rPr>
          <w:rFonts w:ascii="Arial" w:hAnsi="Arial" w:cs="Arial"/>
          <w:sz w:val="20"/>
          <w:szCs w:val="20"/>
        </w:rPr>
        <w:t>.</w:t>
      </w:r>
    </w:p>
    <w:p w14:paraId="57F95894" w14:textId="614B3E38" w:rsidR="00056775" w:rsidRDefault="00056775" w:rsidP="00056775">
      <w:pPr>
        <w:jc w:val="both"/>
        <w:rPr>
          <w:rFonts w:ascii="Arial" w:hAnsi="Arial" w:cs="Arial"/>
          <w:sz w:val="20"/>
          <w:szCs w:val="20"/>
        </w:rPr>
      </w:pPr>
      <w:r w:rsidRPr="00056775">
        <w:rPr>
          <w:rFonts w:ascii="Arial" w:hAnsi="Arial" w:cs="Arial"/>
          <w:sz w:val="20"/>
          <w:szCs w:val="20"/>
        </w:rPr>
        <w:t xml:space="preserve">Restructuring </w:t>
      </w:r>
      <w:r w:rsidR="003201F2">
        <w:rPr>
          <w:rFonts w:ascii="Arial" w:hAnsi="Arial" w:cs="Arial"/>
          <w:sz w:val="20"/>
          <w:szCs w:val="20"/>
        </w:rPr>
        <w:t>investment</w:t>
      </w:r>
      <w:r w:rsidRPr="00056775">
        <w:rPr>
          <w:rFonts w:ascii="Arial" w:hAnsi="Arial" w:cs="Arial"/>
          <w:sz w:val="20"/>
          <w:szCs w:val="20"/>
        </w:rPr>
        <w:t>, being the costs associated with the integration of acquisitions, remain a key component of</w:t>
      </w:r>
      <w:r>
        <w:rPr>
          <w:rFonts w:ascii="Arial" w:hAnsi="Arial" w:cs="Arial"/>
          <w:sz w:val="20"/>
          <w:szCs w:val="20"/>
        </w:rPr>
        <w:t xml:space="preserve"> </w:t>
      </w:r>
      <w:r w:rsidRPr="00056775">
        <w:rPr>
          <w:rFonts w:ascii="Arial" w:hAnsi="Arial" w:cs="Arial"/>
          <w:sz w:val="20"/>
          <w:szCs w:val="20"/>
        </w:rPr>
        <w:t xml:space="preserve">delivering shareholder value by increasing </w:t>
      </w:r>
      <w:r w:rsidR="00C539ED">
        <w:rPr>
          <w:rFonts w:ascii="Arial" w:hAnsi="Arial" w:cs="Arial"/>
          <w:sz w:val="20"/>
          <w:szCs w:val="20"/>
        </w:rPr>
        <w:t xml:space="preserve">future </w:t>
      </w:r>
      <w:r w:rsidRPr="00056775">
        <w:rPr>
          <w:rFonts w:ascii="Arial" w:hAnsi="Arial" w:cs="Arial"/>
          <w:sz w:val="20"/>
          <w:szCs w:val="20"/>
        </w:rPr>
        <w:t>returns made on acquired businesses. Restructuring costs for the</w:t>
      </w:r>
      <w:r>
        <w:rPr>
          <w:rFonts w:ascii="Arial" w:hAnsi="Arial" w:cs="Arial"/>
          <w:sz w:val="20"/>
          <w:szCs w:val="20"/>
        </w:rPr>
        <w:t xml:space="preserve"> </w:t>
      </w:r>
      <w:r w:rsidRPr="00056775">
        <w:rPr>
          <w:rFonts w:ascii="Arial" w:hAnsi="Arial" w:cs="Arial"/>
          <w:sz w:val="20"/>
          <w:szCs w:val="20"/>
        </w:rPr>
        <w:t>year were £</w:t>
      </w:r>
      <w:r w:rsidR="005976EE">
        <w:rPr>
          <w:rFonts w:ascii="Arial" w:hAnsi="Arial" w:cs="Arial"/>
          <w:sz w:val="20"/>
          <w:szCs w:val="20"/>
        </w:rPr>
        <w:t>18.2</w:t>
      </w:r>
      <w:r w:rsidR="00DE53A0">
        <w:rPr>
          <w:rFonts w:ascii="Arial" w:hAnsi="Arial" w:cs="Arial"/>
          <w:sz w:val="20"/>
          <w:szCs w:val="20"/>
        </w:rPr>
        <w:t xml:space="preserve"> </w:t>
      </w:r>
      <w:r w:rsidRPr="00056775">
        <w:rPr>
          <w:rFonts w:ascii="Arial" w:hAnsi="Arial" w:cs="Arial"/>
          <w:sz w:val="20"/>
          <w:szCs w:val="20"/>
        </w:rPr>
        <w:t>million (</w:t>
      </w:r>
      <w:r w:rsidR="00DE53A0">
        <w:rPr>
          <w:rFonts w:ascii="Arial" w:hAnsi="Arial" w:cs="Arial"/>
          <w:sz w:val="20"/>
          <w:szCs w:val="20"/>
        </w:rPr>
        <w:t>FY23</w:t>
      </w:r>
      <w:r w:rsidRPr="00056775">
        <w:rPr>
          <w:rFonts w:ascii="Arial" w:hAnsi="Arial" w:cs="Arial"/>
          <w:sz w:val="20"/>
          <w:szCs w:val="20"/>
        </w:rPr>
        <w:t>: £</w:t>
      </w:r>
      <w:r w:rsidR="005976EE">
        <w:rPr>
          <w:rFonts w:ascii="Arial" w:hAnsi="Arial" w:cs="Arial"/>
          <w:sz w:val="20"/>
          <w:szCs w:val="20"/>
        </w:rPr>
        <w:t>21.1</w:t>
      </w:r>
      <w:r w:rsidR="00DE53A0">
        <w:rPr>
          <w:rFonts w:ascii="Arial" w:hAnsi="Arial" w:cs="Arial"/>
          <w:sz w:val="20"/>
          <w:szCs w:val="20"/>
        </w:rPr>
        <w:t xml:space="preserve"> </w:t>
      </w:r>
      <w:r w:rsidRPr="00056775">
        <w:rPr>
          <w:rFonts w:ascii="Arial" w:hAnsi="Arial" w:cs="Arial"/>
          <w:sz w:val="20"/>
          <w:szCs w:val="20"/>
        </w:rPr>
        <w:t xml:space="preserve">million) reflecting acquisitions made in year and the </w:t>
      </w:r>
      <w:r w:rsidR="00DE53A0">
        <w:rPr>
          <w:rFonts w:ascii="Arial" w:hAnsi="Arial" w:cs="Arial"/>
          <w:sz w:val="20"/>
          <w:szCs w:val="20"/>
        </w:rPr>
        <w:t xml:space="preserve">two </w:t>
      </w:r>
      <w:r w:rsidRPr="00056775">
        <w:rPr>
          <w:rFonts w:ascii="Arial" w:hAnsi="Arial" w:cs="Arial"/>
          <w:sz w:val="20"/>
          <w:szCs w:val="20"/>
        </w:rPr>
        <w:t>key integration programmes within Occupational Health</w:t>
      </w:r>
      <w:r w:rsidR="00CE43F0">
        <w:rPr>
          <w:rFonts w:ascii="Arial" w:hAnsi="Arial" w:cs="Arial"/>
          <w:sz w:val="20"/>
          <w:szCs w:val="20"/>
        </w:rPr>
        <w:t xml:space="preserve"> and </w:t>
      </w:r>
      <w:r w:rsidRPr="00056775">
        <w:rPr>
          <w:rFonts w:ascii="Arial" w:hAnsi="Arial" w:cs="Arial"/>
          <w:sz w:val="20"/>
          <w:szCs w:val="20"/>
        </w:rPr>
        <w:t xml:space="preserve">Water </w:t>
      </w:r>
      <w:r w:rsidR="00DE53A0">
        <w:rPr>
          <w:rFonts w:ascii="Arial" w:hAnsi="Arial" w:cs="Arial"/>
          <w:sz w:val="20"/>
          <w:szCs w:val="20"/>
        </w:rPr>
        <w:t xml:space="preserve">&amp; Air Hygiene. </w:t>
      </w:r>
      <w:r w:rsidR="005976EE">
        <w:rPr>
          <w:rFonts w:ascii="Arial" w:hAnsi="Arial" w:cs="Arial"/>
          <w:sz w:val="20"/>
          <w:szCs w:val="20"/>
        </w:rPr>
        <w:t xml:space="preserve">Restructuring </w:t>
      </w:r>
      <w:r w:rsidR="00DE53A0">
        <w:rPr>
          <w:rFonts w:ascii="Arial" w:hAnsi="Arial" w:cs="Arial"/>
          <w:sz w:val="20"/>
          <w:szCs w:val="20"/>
        </w:rPr>
        <w:t xml:space="preserve">programmes </w:t>
      </w:r>
      <w:r w:rsidR="005976EE">
        <w:rPr>
          <w:rFonts w:ascii="Arial" w:hAnsi="Arial" w:cs="Arial"/>
          <w:sz w:val="20"/>
          <w:szCs w:val="20"/>
        </w:rPr>
        <w:t xml:space="preserve">relating to continuing operations </w:t>
      </w:r>
      <w:r w:rsidRPr="00056775">
        <w:rPr>
          <w:rFonts w:ascii="Arial" w:hAnsi="Arial" w:cs="Arial"/>
          <w:sz w:val="20"/>
          <w:szCs w:val="20"/>
        </w:rPr>
        <w:t>are</w:t>
      </w:r>
      <w:r w:rsidR="00DE53A0">
        <w:rPr>
          <w:rFonts w:ascii="Arial" w:hAnsi="Arial" w:cs="Arial"/>
          <w:sz w:val="20"/>
          <w:szCs w:val="20"/>
        </w:rPr>
        <w:t xml:space="preserve"> now</w:t>
      </w:r>
      <w:r w:rsidRPr="00056775">
        <w:rPr>
          <w:rFonts w:ascii="Arial" w:hAnsi="Arial" w:cs="Arial"/>
          <w:sz w:val="20"/>
          <w:szCs w:val="20"/>
        </w:rPr>
        <w:t xml:space="preserve"> being finalised</w:t>
      </w:r>
      <w:r w:rsidR="00DE53A0">
        <w:rPr>
          <w:rFonts w:ascii="Arial" w:hAnsi="Arial" w:cs="Arial"/>
          <w:sz w:val="20"/>
          <w:szCs w:val="20"/>
        </w:rPr>
        <w:t xml:space="preserve"> and we expect all restructuring expense to have ceased by 30 September 2024. </w:t>
      </w:r>
      <w:r w:rsidRPr="00056775">
        <w:rPr>
          <w:rFonts w:ascii="Arial" w:hAnsi="Arial" w:cs="Arial"/>
          <w:sz w:val="20"/>
          <w:szCs w:val="20"/>
        </w:rPr>
        <w:t>Restructuring costs primarily consist of</w:t>
      </w:r>
      <w:r>
        <w:rPr>
          <w:rFonts w:ascii="Arial" w:hAnsi="Arial" w:cs="Arial"/>
          <w:sz w:val="20"/>
          <w:szCs w:val="20"/>
        </w:rPr>
        <w:t>:</w:t>
      </w:r>
    </w:p>
    <w:p w14:paraId="491E293D" w14:textId="77777777" w:rsidR="00056775" w:rsidRDefault="00056775" w:rsidP="00056775">
      <w:pPr>
        <w:pStyle w:val="ListParagraph"/>
        <w:numPr>
          <w:ilvl w:val="0"/>
          <w:numId w:val="17"/>
        </w:numPr>
        <w:jc w:val="both"/>
        <w:rPr>
          <w:rFonts w:ascii="Arial" w:hAnsi="Arial" w:cs="Arial"/>
          <w:sz w:val="20"/>
          <w:szCs w:val="20"/>
        </w:rPr>
      </w:pPr>
      <w:r w:rsidRPr="00056775">
        <w:rPr>
          <w:rFonts w:ascii="Arial" w:hAnsi="Arial" w:cs="Arial"/>
          <w:sz w:val="20"/>
          <w:szCs w:val="20"/>
        </w:rPr>
        <w:t xml:space="preserve">The cost of duplicated staff roles during the integration and restructuring </w:t>
      </w:r>
      <w:proofErr w:type="gramStart"/>
      <w:r w:rsidRPr="00056775">
        <w:rPr>
          <w:rFonts w:ascii="Arial" w:hAnsi="Arial" w:cs="Arial"/>
          <w:sz w:val="20"/>
          <w:szCs w:val="20"/>
        </w:rPr>
        <w:t>period;</w:t>
      </w:r>
      <w:proofErr w:type="gramEnd"/>
    </w:p>
    <w:p w14:paraId="09E043FF" w14:textId="1E9ED51E" w:rsidR="00056775" w:rsidRDefault="00056775" w:rsidP="00056775">
      <w:pPr>
        <w:pStyle w:val="ListParagraph"/>
        <w:numPr>
          <w:ilvl w:val="0"/>
          <w:numId w:val="17"/>
        </w:numPr>
        <w:jc w:val="both"/>
        <w:rPr>
          <w:rFonts w:ascii="Arial" w:hAnsi="Arial" w:cs="Arial"/>
          <w:sz w:val="20"/>
          <w:szCs w:val="20"/>
        </w:rPr>
      </w:pPr>
      <w:r w:rsidRPr="00056775">
        <w:rPr>
          <w:rFonts w:ascii="Arial" w:hAnsi="Arial" w:cs="Arial"/>
          <w:sz w:val="20"/>
          <w:szCs w:val="20"/>
        </w:rPr>
        <w:t xml:space="preserve">The </w:t>
      </w:r>
      <w:r w:rsidR="007A42A4">
        <w:rPr>
          <w:rFonts w:ascii="Arial" w:hAnsi="Arial" w:cs="Arial"/>
          <w:sz w:val="20"/>
          <w:szCs w:val="20"/>
        </w:rPr>
        <w:t xml:space="preserve">implementation and </w:t>
      </w:r>
      <w:r w:rsidRPr="00056775">
        <w:rPr>
          <w:rFonts w:ascii="Arial" w:hAnsi="Arial" w:cs="Arial"/>
          <w:sz w:val="20"/>
          <w:szCs w:val="20"/>
        </w:rPr>
        <w:t xml:space="preserve">redundancy cost of </w:t>
      </w:r>
      <w:r w:rsidR="007A42A4">
        <w:rPr>
          <w:rFonts w:ascii="Arial" w:hAnsi="Arial" w:cs="Arial"/>
          <w:sz w:val="20"/>
          <w:szCs w:val="20"/>
        </w:rPr>
        <w:t xml:space="preserve">delivering </w:t>
      </w:r>
      <w:r w:rsidRPr="00056775">
        <w:rPr>
          <w:rFonts w:ascii="Arial" w:hAnsi="Arial" w:cs="Arial"/>
          <w:sz w:val="20"/>
          <w:szCs w:val="20"/>
        </w:rPr>
        <w:t>the post completion staff structures; and</w:t>
      </w:r>
    </w:p>
    <w:p w14:paraId="71DE1522" w14:textId="78ED0922" w:rsidR="00056775" w:rsidRPr="00056775" w:rsidRDefault="00056775" w:rsidP="00056775">
      <w:pPr>
        <w:pStyle w:val="ListParagraph"/>
        <w:numPr>
          <w:ilvl w:val="0"/>
          <w:numId w:val="17"/>
        </w:numPr>
        <w:jc w:val="both"/>
        <w:rPr>
          <w:rFonts w:ascii="Arial" w:hAnsi="Arial" w:cs="Arial"/>
          <w:sz w:val="20"/>
          <w:szCs w:val="20"/>
        </w:rPr>
      </w:pPr>
      <w:r w:rsidRPr="00056775">
        <w:rPr>
          <w:rFonts w:ascii="Arial" w:hAnsi="Arial" w:cs="Arial"/>
          <w:sz w:val="20"/>
          <w:szCs w:val="20"/>
        </w:rPr>
        <w:t xml:space="preserve">IT costs associated with the integration and transfer to Group IT systems, including costs of </w:t>
      </w:r>
      <w:proofErr w:type="gramStart"/>
      <w:r w:rsidRPr="00056775">
        <w:rPr>
          <w:rFonts w:ascii="Arial" w:hAnsi="Arial" w:cs="Arial"/>
          <w:sz w:val="20"/>
          <w:szCs w:val="20"/>
        </w:rPr>
        <w:t>third party</w:t>
      </w:r>
      <w:proofErr w:type="gramEnd"/>
      <w:r>
        <w:rPr>
          <w:rFonts w:ascii="Arial" w:hAnsi="Arial" w:cs="Arial"/>
          <w:sz w:val="20"/>
          <w:szCs w:val="20"/>
        </w:rPr>
        <w:t xml:space="preserve"> </w:t>
      </w:r>
      <w:r w:rsidRPr="00056775">
        <w:rPr>
          <w:rFonts w:ascii="Arial" w:hAnsi="Arial" w:cs="Arial"/>
          <w:sz w:val="20"/>
          <w:szCs w:val="20"/>
        </w:rPr>
        <w:t>software used in the delivery of customer contracts where there is a programme to transition such</w:t>
      </w:r>
      <w:r>
        <w:rPr>
          <w:rFonts w:ascii="Arial" w:hAnsi="Arial" w:cs="Arial"/>
          <w:sz w:val="20"/>
          <w:szCs w:val="20"/>
        </w:rPr>
        <w:t xml:space="preserve"> </w:t>
      </w:r>
      <w:r w:rsidRPr="00056775">
        <w:rPr>
          <w:rFonts w:ascii="Arial" w:hAnsi="Arial" w:cs="Arial"/>
          <w:sz w:val="20"/>
          <w:szCs w:val="20"/>
        </w:rPr>
        <w:t>software to one of the Group’s existing platforms</w:t>
      </w:r>
      <w:r>
        <w:rPr>
          <w:rFonts w:ascii="Arial" w:hAnsi="Arial" w:cs="Arial"/>
          <w:sz w:val="20"/>
          <w:szCs w:val="20"/>
        </w:rPr>
        <w:t>.</w:t>
      </w:r>
    </w:p>
    <w:p w14:paraId="60E6C04A" w14:textId="4D901C92" w:rsidR="002959ED" w:rsidRPr="00056775" w:rsidRDefault="002959ED" w:rsidP="00056775">
      <w:pPr>
        <w:jc w:val="both"/>
        <w:rPr>
          <w:rFonts w:ascii="Arial" w:hAnsi="Arial" w:cs="Arial"/>
          <w:sz w:val="20"/>
          <w:szCs w:val="20"/>
        </w:rPr>
      </w:pPr>
      <w:r w:rsidRPr="00056775">
        <w:rPr>
          <w:rFonts w:ascii="Arial" w:hAnsi="Arial" w:cs="Arial"/>
          <w:sz w:val="20"/>
          <w:szCs w:val="20"/>
        </w:rPr>
        <w:t>Amortisation of</w:t>
      </w:r>
      <w:r w:rsidR="004C5CF4" w:rsidRPr="00056775">
        <w:rPr>
          <w:rFonts w:ascii="Arial" w:hAnsi="Arial" w:cs="Arial"/>
          <w:sz w:val="20"/>
          <w:szCs w:val="20"/>
        </w:rPr>
        <w:t xml:space="preserve"> acquired</w:t>
      </w:r>
      <w:r w:rsidRPr="00056775">
        <w:rPr>
          <w:rFonts w:ascii="Arial" w:hAnsi="Arial" w:cs="Arial"/>
          <w:sz w:val="20"/>
          <w:szCs w:val="20"/>
        </w:rPr>
        <w:t xml:space="preserve"> intangible assets for the year was £</w:t>
      </w:r>
      <w:r w:rsidR="005976EE">
        <w:rPr>
          <w:rFonts w:ascii="Arial" w:hAnsi="Arial" w:cs="Arial"/>
          <w:sz w:val="20"/>
          <w:szCs w:val="20"/>
        </w:rPr>
        <w:t>25.6</w:t>
      </w:r>
      <w:r w:rsidRPr="00056775">
        <w:rPr>
          <w:rFonts w:ascii="Arial" w:hAnsi="Arial" w:cs="Arial"/>
          <w:sz w:val="20"/>
          <w:szCs w:val="20"/>
        </w:rPr>
        <w:t xml:space="preserve"> million (FY2</w:t>
      </w:r>
      <w:r w:rsidR="00DE53A0">
        <w:rPr>
          <w:rFonts w:ascii="Arial" w:hAnsi="Arial" w:cs="Arial"/>
          <w:sz w:val="20"/>
          <w:szCs w:val="20"/>
        </w:rPr>
        <w:t>3</w:t>
      </w:r>
      <w:r w:rsidRPr="00056775">
        <w:rPr>
          <w:rFonts w:ascii="Arial" w:hAnsi="Arial" w:cs="Arial"/>
          <w:sz w:val="20"/>
          <w:szCs w:val="20"/>
        </w:rPr>
        <w:t>: £</w:t>
      </w:r>
      <w:r w:rsidR="005976EE">
        <w:rPr>
          <w:rFonts w:ascii="Arial" w:hAnsi="Arial" w:cs="Arial"/>
          <w:sz w:val="20"/>
          <w:szCs w:val="20"/>
        </w:rPr>
        <w:t>24.0</w:t>
      </w:r>
      <w:r w:rsidR="00DE53A0">
        <w:rPr>
          <w:rFonts w:ascii="Arial" w:hAnsi="Arial" w:cs="Arial"/>
          <w:sz w:val="20"/>
          <w:szCs w:val="20"/>
        </w:rPr>
        <w:t xml:space="preserve"> </w:t>
      </w:r>
      <w:r w:rsidRPr="00056775">
        <w:rPr>
          <w:rFonts w:ascii="Arial" w:hAnsi="Arial" w:cs="Arial"/>
          <w:sz w:val="20"/>
          <w:szCs w:val="20"/>
        </w:rPr>
        <w:t xml:space="preserve">million) with the increase attributable to the higher carrying value of intangible assets resulting from </w:t>
      </w:r>
      <w:r w:rsidR="00DE53A0">
        <w:rPr>
          <w:rFonts w:ascii="Arial" w:hAnsi="Arial" w:cs="Arial"/>
          <w:sz w:val="20"/>
          <w:szCs w:val="20"/>
        </w:rPr>
        <w:t xml:space="preserve">acquisition made in year. </w:t>
      </w:r>
    </w:p>
    <w:p w14:paraId="0F6BB9F1" w14:textId="48A79658" w:rsidR="002959ED" w:rsidRPr="000B13F3" w:rsidRDefault="002959ED" w:rsidP="002959ED">
      <w:pPr>
        <w:jc w:val="both"/>
        <w:rPr>
          <w:rFonts w:ascii="Arial" w:hAnsi="Arial" w:cs="Arial"/>
          <w:sz w:val="20"/>
          <w:szCs w:val="20"/>
        </w:rPr>
      </w:pPr>
      <w:r w:rsidRPr="009C56E0">
        <w:rPr>
          <w:rFonts w:ascii="Arial" w:hAnsi="Arial" w:cs="Arial"/>
          <w:sz w:val="20"/>
          <w:szCs w:val="20"/>
        </w:rPr>
        <w:t xml:space="preserve">Non-cash share-based payment </w:t>
      </w:r>
      <w:r w:rsidR="004B35CE">
        <w:rPr>
          <w:rFonts w:ascii="Arial" w:hAnsi="Arial" w:cs="Arial"/>
          <w:sz w:val="20"/>
          <w:szCs w:val="20"/>
        </w:rPr>
        <w:t xml:space="preserve">credit </w:t>
      </w:r>
      <w:r w:rsidRPr="009C56E0">
        <w:rPr>
          <w:rFonts w:ascii="Arial" w:hAnsi="Arial" w:cs="Arial"/>
          <w:sz w:val="20"/>
          <w:szCs w:val="20"/>
        </w:rPr>
        <w:t>for the year w</w:t>
      </w:r>
      <w:r w:rsidR="00C62CF3">
        <w:rPr>
          <w:rFonts w:ascii="Arial" w:hAnsi="Arial" w:cs="Arial"/>
          <w:sz w:val="20"/>
          <w:szCs w:val="20"/>
        </w:rPr>
        <w:t>as</w:t>
      </w:r>
      <w:r w:rsidRPr="009C56E0">
        <w:rPr>
          <w:rFonts w:ascii="Arial" w:hAnsi="Arial" w:cs="Arial"/>
          <w:sz w:val="20"/>
          <w:szCs w:val="20"/>
        </w:rPr>
        <w:t xml:space="preserve"> £</w:t>
      </w:r>
      <w:r w:rsidR="005976EE" w:rsidRPr="009C56E0">
        <w:rPr>
          <w:rFonts w:ascii="Arial" w:hAnsi="Arial" w:cs="Arial"/>
          <w:sz w:val="20"/>
          <w:szCs w:val="20"/>
        </w:rPr>
        <w:t>0.</w:t>
      </w:r>
      <w:r w:rsidR="00C24115">
        <w:rPr>
          <w:rFonts w:ascii="Arial" w:hAnsi="Arial" w:cs="Arial"/>
          <w:sz w:val="20"/>
          <w:szCs w:val="20"/>
        </w:rPr>
        <w:t>8</w:t>
      </w:r>
      <w:r w:rsidR="005976EE" w:rsidRPr="009C56E0">
        <w:rPr>
          <w:rFonts w:ascii="Arial" w:hAnsi="Arial" w:cs="Arial"/>
          <w:sz w:val="20"/>
          <w:szCs w:val="20"/>
        </w:rPr>
        <w:t xml:space="preserve"> </w:t>
      </w:r>
      <w:r w:rsidRPr="009C56E0">
        <w:rPr>
          <w:rFonts w:ascii="Arial" w:hAnsi="Arial" w:cs="Arial"/>
          <w:sz w:val="20"/>
          <w:szCs w:val="20"/>
        </w:rPr>
        <w:t>million (FY2</w:t>
      </w:r>
      <w:r w:rsidR="00DE53A0" w:rsidRPr="009C56E0">
        <w:rPr>
          <w:rFonts w:ascii="Arial" w:hAnsi="Arial" w:cs="Arial"/>
          <w:sz w:val="20"/>
          <w:szCs w:val="20"/>
        </w:rPr>
        <w:t>3</w:t>
      </w:r>
      <w:r w:rsidRPr="009C56E0">
        <w:rPr>
          <w:rFonts w:ascii="Arial" w:hAnsi="Arial" w:cs="Arial"/>
          <w:sz w:val="20"/>
          <w:szCs w:val="20"/>
        </w:rPr>
        <w:t>: £</w:t>
      </w:r>
      <w:r w:rsidR="00D5704C" w:rsidRPr="009C56E0">
        <w:rPr>
          <w:rFonts w:ascii="Arial" w:hAnsi="Arial" w:cs="Arial"/>
          <w:sz w:val="20"/>
          <w:szCs w:val="20"/>
        </w:rPr>
        <w:t>1.</w:t>
      </w:r>
      <w:r w:rsidR="00DE53A0" w:rsidRPr="009C56E0">
        <w:rPr>
          <w:rFonts w:ascii="Arial" w:hAnsi="Arial" w:cs="Arial"/>
          <w:sz w:val="20"/>
          <w:szCs w:val="20"/>
        </w:rPr>
        <w:t>7</w:t>
      </w:r>
      <w:r w:rsidRPr="009C56E0">
        <w:rPr>
          <w:rFonts w:ascii="Arial" w:hAnsi="Arial" w:cs="Arial"/>
          <w:sz w:val="20"/>
          <w:szCs w:val="20"/>
        </w:rPr>
        <w:t xml:space="preserve"> million</w:t>
      </w:r>
      <w:r w:rsidR="005976EE" w:rsidRPr="009C56E0">
        <w:rPr>
          <w:rFonts w:ascii="Arial" w:hAnsi="Arial" w:cs="Arial"/>
          <w:sz w:val="20"/>
          <w:szCs w:val="20"/>
        </w:rPr>
        <w:t xml:space="preserve"> charge</w:t>
      </w:r>
      <w:r w:rsidRPr="009C56E0">
        <w:rPr>
          <w:rFonts w:ascii="Arial" w:hAnsi="Arial" w:cs="Arial"/>
          <w:sz w:val="20"/>
          <w:szCs w:val="20"/>
        </w:rPr>
        <w:t xml:space="preserve">) and largely </w:t>
      </w:r>
      <w:r w:rsidR="003201F2">
        <w:rPr>
          <w:rFonts w:ascii="Arial" w:hAnsi="Arial" w:cs="Arial"/>
          <w:sz w:val="20"/>
          <w:szCs w:val="20"/>
        </w:rPr>
        <w:t>relates to</w:t>
      </w:r>
      <w:r w:rsidR="003201F2" w:rsidRPr="009C56E0">
        <w:rPr>
          <w:rFonts w:ascii="Arial" w:hAnsi="Arial" w:cs="Arial"/>
          <w:sz w:val="20"/>
          <w:szCs w:val="20"/>
        </w:rPr>
        <w:t xml:space="preserve"> </w:t>
      </w:r>
      <w:r w:rsidRPr="009C56E0">
        <w:rPr>
          <w:rFonts w:ascii="Arial" w:hAnsi="Arial" w:cs="Arial"/>
          <w:sz w:val="20"/>
          <w:szCs w:val="20"/>
        </w:rPr>
        <w:t>the charge for the Executive Incentive Plan</w:t>
      </w:r>
      <w:r w:rsidRPr="004925E8">
        <w:rPr>
          <w:rFonts w:ascii="Arial" w:hAnsi="Arial" w:cs="Arial"/>
          <w:sz w:val="20"/>
          <w:szCs w:val="20"/>
        </w:rPr>
        <w:t>.</w:t>
      </w:r>
      <w:r w:rsidR="00B1548B">
        <w:rPr>
          <w:rFonts w:ascii="Arial" w:hAnsi="Arial" w:cs="Arial"/>
          <w:sz w:val="20"/>
          <w:szCs w:val="20"/>
        </w:rPr>
        <w:t xml:space="preserve"> The credit in the year relates to an adjustment to reflect leavers from the scheme. </w:t>
      </w:r>
    </w:p>
    <w:p w14:paraId="2DD68DCC" w14:textId="538342B4" w:rsidR="004D7A7E" w:rsidRPr="000B13F3" w:rsidRDefault="002959ED" w:rsidP="002959ED">
      <w:pPr>
        <w:jc w:val="both"/>
        <w:rPr>
          <w:rFonts w:ascii="Arial" w:hAnsi="Arial" w:cs="Arial"/>
          <w:sz w:val="20"/>
          <w:szCs w:val="20"/>
        </w:rPr>
      </w:pPr>
      <w:r w:rsidRPr="000B13F3">
        <w:rPr>
          <w:rFonts w:ascii="Arial" w:hAnsi="Arial" w:cs="Arial"/>
          <w:sz w:val="20"/>
          <w:szCs w:val="20"/>
        </w:rPr>
        <w:t xml:space="preserve">Certain long term incentive schemes for platform businesses have been established to incentivise key members of our platform acquisition’s senior management to create shareholder value through the successful acquisition, restructuring and integration of businesses in their chosen service sectors. </w:t>
      </w:r>
      <w:r w:rsidR="007B6B91" w:rsidRPr="000B13F3">
        <w:rPr>
          <w:rFonts w:ascii="Arial" w:hAnsi="Arial" w:cs="Arial"/>
          <w:sz w:val="20"/>
          <w:szCs w:val="20"/>
        </w:rPr>
        <w:t xml:space="preserve">These schemes </w:t>
      </w:r>
      <w:r w:rsidR="00805097" w:rsidRPr="000B13F3">
        <w:rPr>
          <w:rFonts w:ascii="Arial" w:hAnsi="Arial" w:cs="Arial"/>
          <w:sz w:val="20"/>
          <w:szCs w:val="20"/>
        </w:rPr>
        <w:t>have</w:t>
      </w:r>
      <w:r w:rsidR="007B6B91" w:rsidRPr="000B13F3">
        <w:rPr>
          <w:rFonts w:ascii="Arial" w:hAnsi="Arial" w:cs="Arial"/>
          <w:sz w:val="20"/>
          <w:szCs w:val="20"/>
        </w:rPr>
        <w:t xml:space="preserve"> similar</w:t>
      </w:r>
      <w:r w:rsidR="00805097" w:rsidRPr="000B13F3">
        <w:rPr>
          <w:rFonts w:ascii="Arial" w:hAnsi="Arial" w:cs="Arial"/>
          <w:sz w:val="20"/>
          <w:szCs w:val="20"/>
        </w:rPr>
        <w:t xml:space="preserve"> characteristics</w:t>
      </w:r>
      <w:r w:rsidR="007B6B91" w:rsidRPr="000B13F3">
        <w:rPr>
          <w:rFonts w:ascii="Arial" w:hAnsi="Arial" w:cs="Arial"/>
          <w:sz w:val="20"/>
          <w:szCs w:val="20"/>
        </w:rPr>
        <w:t xml:space="preserve"> to earn out structures in place within the Group and have a similar purpose</w:t>
      </w:r>
      <w:r w:rsidR="00805097" w:rsidRPr="000B13F3">
        <w:rPr>
          <w:rFonts w:ascii="Arial" w:hAnsi="Arial" w:cs="Arial"/>
          <w:sz w:val="20"/>
          <w:szCs w:val="20"/>
        </w:rPr>
        <w:t>.</w:t>
      </w:r>
      <w:r w:rsidRPr="000B13F3">
        <w:rPr>
          <w:rFonts w:ascii="Arial" w:hAnsi="Arial" w:cs="Arial"/>
          <w:sz w:val="20"/>
          <w:szCs w:val="20"/>
        </w:rPr>
        <w:t xml:space="preserve"> </w:t>
      </w:r>
      <w:r w:rsidR="007B6B91" w:rsidRPr="000B13F3">
        <w:rPr>
          <w:rFonts w:ascii="Arial" w:hAnsi="Arial" w:cs="Arial"/>
          <w:sz w:val="20"/>
          <w:szCs w:val="20"/>
        </w:rPr>
        <w:t xml:space="preserve">As such, </w:t>
      </w:r>
      <w:r w:rsidR="00B74BE8">
        <w:rPr>
          <w:rFonts w:ascii="Arial" w:hAnsi="Arial" w:cs="Arial"/>
          <w:sz w:val="20"/>
          <w:szCs w:val="20"/>
        </w:rPr>
        <w:t xml:space="preserve">these schemes </w:t>
      </w:r>
      <w:proofErr w:type="gramStart"/>
      <w:r w:rsidR="00B74BE8">
        <w:rPr>
          <w:rFonts w:ascii="Arial" w:hAnsi="Arial" w:cs="Arial"/>
          <w:sz w:val="20"/>
          <w:szCs w:val="20"/>
        </w:rPr>
        <w:t>are considered to be</w:t>
      </w:r>
      <w:proofErr w:type="gramEnd"/>
      <w:r w:rsidR="00B74BE8">
        <w:rPr>
          <w:rFonts w:ascii="Arial" w:hAnsi="Arial" w:cs="Arial"/>
          <w:sz w:val="20"/>
          <w:szCs w:val="20"/>
        </w:rPr>
        <w:t xml:space="preserve"> part of the investing activities of the group and are not-recurring in nature</w:t>
      </w:r>
      <w:r w:rsidR="007B6B91" w:rsidRPr="000B13F3">
        <w:rPr>
          <w:rFonts w:ascii="Arial" w:hAnsi="Arial" w:cs="Arial"/>
          <w:sz w:val="20"/>
          <w:szCs w:val="20"/>
        </w:rPr>
        <w:t xml:space="preserve">. </w:t>
      </w:r>
      <w:r w:rsidRPr="000B13F3">
        <w:rPr>
          <w:rFonts w:ascii="Arial" w:hAnsi="Arial" w:cs="Arial"/>
          <w:sz w:val="20"/>
          <w:szCs w:val="20"/>
        </w:rPr>
        <w:t xml:space="preserve">The total charge </w:t>
      </w:r>
      <w:r w:rsidR="00805097" w:rsidRPr="000B13F3">
        <w:rPr>
          <w:rFonts w:ascii="Arial" w:hAnsi="Arial" w:cs="Arial"/>
          <w:sz w:val="20"/>
          <w:szCs w:val="20"/>
        </w:rPr>
        <w:t xml:space="preserve">for these schemes and for movements in </w:t>
      </w:r>
      <w:r w:rsidR="00B74BE8">
        <w:rPr>
          <w:rFonts w:ascii="Arial" w:hAnsi="Arial" w:cs="Arial"/>
          <w:sz w:val="20"/>
          <w:szCs w:val="20"/>
        </w:rPr>
        <w:t xml:space="preserve">contingent </w:t>
      </w:r>
      <w:r w:rsidR="00805097" w:rsidRPr="000B13F3">
        <w:rPr>
          <w:rFonts w:ascii="Arial" w:hAnsi="Arial" w:cs="Arial"/>
          <w:sz w:val="20"/>
          <w:szCs w:val="20"/>
        </w:rPr>
        <w:t>consideration provisions during the year totalled</w:t>
      </w:r>
      <w:r w:rsidR="00A234DC" w:rsidRPr="000B13F3">
        <w:rPr>
          <w:rFonts w:ascii="Arial" w:hAnsi="Arial" w:cs="Arial"/>
          <w:sz w:val="20"/>
          <w:szCs w:val="20"/>
        </w:rPr>
        <w:t xml:space="preserve"> </w:t>
      </w:r>
      <w:r w:rsidRPr="000B13F3">
        <w:rPr>
          <w:rFonts w:ascii="Arial" w:hAnsi="Arial" w:cs="Arial"/>
          <w:sz w:val="20"/>
          <w:szCs w:val="20"/>
        </w:rPr>
        <w:t>£</w:t>
      </w:r>
      <w:r w:rsidR="00DE53A0">
        <w:rPr>
          <w:rFonts w:ascii="Arial" w:hAnsi="Arial" w:cs="Arial"/>
          <w:sz w:val="20"/>
          <w:szCs w:val="20"/>
        </w:rPr>
        <w:t>5.0</w:t>
      </w:r>
      <w:r w:rsidRPr="000B13F3">
        <w:rPr>
          <w:rFonts w:ascii="Arial" w:hAnsi="Arial" w:cs="Arial"/>
          <w:sz w:val="20"/>
          <w:szCs w:val="20"/>
        </w:rPr>
        <w:t xml:space="preserve"> million (FY2</w:t>
      </w:r>
      <w:r w:rsidR="00DE53A0">
        <w:rPr>
          <w:rFonts w:ascii="Arial" w:hAnsi="Arial" w:cs="Arial"/>
          <w:sz w:val="20"/>
          <w:szCs w:val="20"/>
        </w:rPr>
        <w:t>3</w:t>
      </w:r>
      <w:r w:rsidRPr="000B13F3">
        <w:rPr>
          <w:rFonts w:ascii="Arial" w:hAnsi="Arial" w:cs="Arial"/>
          <w:sz w:val="20"/>
          <w:szCs w:val="20"/>
        </w:rPr>
        <w:t xml:space="preserve">: </w:t>
      </w:r>
      <w:r w:rsidR="00A3242E" w:rsidRPr="000B13F3">
        <w:rPr>
          <w:rFonts w:ascii="Arial" w:hAnsi="Arial" w:cs="Arial"/>
          <w:sz w:val="20"/>
          <w:szCs w:val="20"/>
        </w:rPr>
        <w:t>£</w:t>
      </w:r>
      <w:r w:rsidR="004925E8">
        <w:rPr>
          <w:rFonts w:ascii="Arial" w:hAnsi="Arial" w:cs="Arial"/>
          <w:sz w:val="20"/>
          <w:szCs w:val="20"/>
        </w:rPr>
        <w:t>8.4</w:t>
      </w:r>
      <w:r w:rsidR="00DE53A0">
        <w:rPr>
          <w:rFonts w:ascii="Arial" w:hAnsi="Arial" w:cs="Arial"/>
          <w:sz w:val="20"/>
          <w:szCs w:val="20"/>
        </w:rPr>
        <w:t xml:space="preserve"> </w:t>
      </w:r>
      <w:r w:rsidRPr="000B13F3">
        <w:rPr>
          <w:rFonts w:ascii="Arial" w:hAnsi="Arial" w:cs="Arial"/>
          <w:sz w:val="20"/>
          <w:szCs w:val="20"/>
        </w:rPr>
        <w:t>million)</w:t>
      </w:r>
      <w:r w:rsidR="00DE53A0">
        <w:rPr>
          <w:rFonts w:ascii="Arial" w:hAnsi="Arial" w:cs="Arial"/>
          <w:sz w:val="20"/>
          <w:szCs w:val="20"/>
        </w:rPr>
        <w:t xml:space="preserve">. </w:t>
      </w:r>
    </w:p>
    <w:p w14:paraId="766DAA81" w14:textId="2A985EDF" w:rsidR="004D7A7E" w:rsidRPr="000B13F3" w:rsidRDefault="004D7A7E" w:rsidP="002959ED">
      <w:pPr>
        <w:jc w:val="both"/>
        <w:rPr>
          <w:rFonts w:ascii="Arial" w:hAnsi="Arial" w:cs="Arial"/>
          <w:sz w:val="20"/>
          <w:szCs w:val="20"/>
        </w:rPr>
      </w:pPr>
      <w:r w:rsidRPr="000B13F3">
        <w:rPr>
          <w:rFonts w:ascii="Arial" w:hAnsi="Arial" w:cs="Arial"/>
          <w:sz w:val="20"/>
          <w:szCs w:val="20"/>
        </w:rPr>
        <w:t>Exceptional finance costs for the year were £</w:t>
      </w:r>
      <w:r w:rsidR="00C24115">
        <w:rPr>
          <w:rFonts w:ascii="Arial" w:hAnsi="Arial" w:cs="Arial"/>
          <w:sz w:val="20"/>
          <w:szCs w:val="20"/>
        </w:rPr>
        <w:t>1.9</w:t>
      </w:r>
      <w:r w:rsidRPr="000B13F3">
        <w:rPr>
          <w:rFonts w:ascii="Arial" w:hAnsi="Arial" w:cs="Arial"/>
          <w:sz w:val="20"/>
          <w:szCs w:val="20"/>
        </w:rPr>
        <w:t xml:space="preserve"> million (FY22: £</w:t>
      </w:r>
      <w:r w:rsidR="00C24115">
        <w:rPr>
          <w:rFonts w:ascii="Arial" w:hAnsi="Arial" w:cs="Arial"/>
          <w:sz w:val="20"/>
          <w:szCs w:val="20"/>
        </w:rPr>
        <w:t>2.6</w:t>
      </w:r>
      <w:r w:rsidRPr="000B13F3">
        <w:rPr>
          <w:rFonts w:ascii="Arial" w:hAnsi="Arial" w:cs="Arial"/>
          <w:sz w:val="20"/>
          <w:szCs w:val="20"/>
        </w:rPr>
        <w:t xml:space="preserve"> million) and relate</w:t>
      </w:r>
      <w:r w:rsidR="00DE53A0">
        <w:rPr>
          <w:rFonts w:ascii="Arial" w:hAnsi="Arial" w:cs="Arial"/>
          <w:sz w:val="20"/>
          <w:szCs w:val="20"/>
        </w:rPr>
        <w:t xml:space="preserve"> </w:t>
      </w:r>
      <w:r w:rsidRPr="000B13F3">
        <w:rPr>
          <w:rFonts w:ascii="Arial" w:hAnsi="Arial" w:cs="Arial"/>
          <w:sz w:val="20"/>
          <w:szCs w:val="20"/>
        </w:rPr>
        <w:t xml:space="preserve">to </w:t>
      </w:r>
      <w:r w:rsidR="00A64DA8" w:rsidRPr="000B13F3">
        <w:rPr>
          <w:rFonts w:ascii="Arial" w:hAnsi="Arial" w:cs="Arial"/>
          <w:sz w:val="20"/>
          <w:szCs w:val="20"/>
        </w:rPr>
        <w:t xml:space="preserve">the non-cash </w:t>
      </w:r>
      <w:r w:rsidRPr="000B13F3">
        <w:rPr>
          <w:rFonts w:ascii="Arial" w:hAnsi="Arial" w:cs="Arial"/>
          <w:sz w:val="20"/>
          <w:szCs w:val="20"/>
        </w:rPr>
        <w:t>unwinding of the discount applied to contingent consideration to reflect the time value of money</w:t>
      </w:r>
      <w:r w:rsidR="00A64DA8" w:rsidRPr="000B13F3">
        <w:rPr>
          <w:rFonts w:ascii="Arial" w:hAnsi="Arial" w:cs="Arial"/>
          <w:sz w:val="20"/>
          <w:szCs w:val="20"/>
        </w:rPr>
        <w:t>.</w:t>
      </w:r>
      <w:r w:rsidR="004925E8" w:rsidDel="004925E8">
        <w:rPr>
          <w:rFonts w:ascii="Arial" w:hAnsi="Arial" w:cs="Arial"/>
          <w:sz w:val="20"/>
          <w:szCs w:val="20"/>
        </w:rPr>
        <w:t xml:space="preserve"> </w:t>
      </w:r>
    </w:p>
    <w:p w14:paraId="0225FFF3" w14:textId="0933F97C" w:rsidR="00DE53A0" w:rsidRDefault="002959ED" w:rsidP="002959ED">
      <w:pPr>
        <w:jc w:val="both"/>
        <w:rPr>
          <w:rFonts w:ascii="Arial" w:hAnsi="Arial" w:cs="Arial"/>
          <w:sz w:val="20"/>
          <w:szCs w:val="20"/>
        </w:rPr>
      </w:pPr>
      <w:r w:rsidRPr="000B13F3">
        <w:rPr>
          <w:rFonts w:ascii="Arial" w:hAnsi="Arial" w:cs="Arial"/>
          <w:sz w:val="20"/>
          <w:szCs w:val="20"/>
        </w:rPr>
        <w:t>Further details on the items considered when arriving at adjusted performance measures can be found in Note</w:t>
      </w:r>
      <w:r w:rsidR="004B35CE">
        <w:rPr>
          <w:rFonts w:ascii="Arial" w:hAnsi="Arial" w:cs="Arial"/>
          <w:sz w:val="20"/>
          <w:szCs w:val="20"/>
        </w:rPr>
        <w:t xml:space="preserve"> </w:t>
      </w:r>
      <w:r w:rsidR="002E1CF7" w:rsidRPr="000B13F3">
        <w:rPr>
          <w:rFonts w:ascii="Arial" w:hAnsi="Arial" w:cs="Arial"/>
          <w:sz w:val="20"/>
          <w:szCs w:val="20"/>
        </w:rPr>
        <w:t>3</w:t>
      </w:r>
      <w:r w:rsidRPr="000B13F3">
        <w:rPr>
          <w:rFonts w:ascii="Arial" w:hAnsi="Arial" w:cs="Arial"/>
          <w:sz w:val="20"/>
          <w:szCs w:val="20"/>
        </w:rPr>
        <w:t>.</w:t>
      </w:r>
    </w:p>
    <w:p w14:paraId="79884B1B" w14:textId="7C707ADA" w:rsidR="00CA358A" w:rsidRPr="000B13F3" w:rsidRDefault="00CA358A" w:rsidP="002959ED">
      <w:pPr>
        <w:jc w:val="both"/>
        <w:rPr>
          <w:rFonts w:ascii="Arial" w:hAnsi="Arial" w:cs="Arial"/>
          <w:sz w:val="20"/>
          <w:szCs w:val="20"/>
        </w:rPr>
      </w:pPr>
      <w:r w:rsidRPr="000B13F3">
        <w:rPr>
          <w:rFonts w:ascii="Arial" w:hAnsi="Arial" w:cs="Arial"/>
          <w:b/>
          <w:bCs/>
          <w:sz w:val="20"/>
          <w:szCs w:val="20"/>
        </w:rPr>
        <w:t>Earnings per share</w:t>
      </w:r>
      <w:r w:rsidRPr="000B13F3">
        <w:rPr>
          <w:rFonts w:ascii="Arial" w:hAnsi="Arial" w:cs="Arial"/>
          <w:sz w:val="20"/>
          <w:szCs w:val="20"/>
        </w:rPr>
        <w:t xml:space="preserve"> </w:t>
      </w:r>
    </w:p>
    <w:p w14:paraId="782666BC" w14:textId="218055F0" w:rsidR="00CA358A" w:rsidRPr="000B13F3" w:rsidRDefault="002959ED" w:rsidP="00CA358A">
      <w:pPr>
        <w:jc w:val="both"/>
        <w:rPr>
          <w:rFonts w:ascii="Arial" w:hAnsi="Arial" w:cs="Arial"/>
          <w:sz w:val="20"/>
          <w:szCs w:val="20"/>
        </w:rPr>
      </w:pPr>
      <w:r w:rsidRPr="000B13F3">
        <w:rPr>
          <w:rFonts w:ascii="Arial" w:hAnsi="Arial" w:cs="Arial"/>
          <w:sz w:val="20"/>
          <w:szCs w:val="20"/>
        </w:rPr>
        <w:t xml:space="preserve">Basic adjusted earnings per share are calculated as adjusted profit </w:t>
      </w:r>
      <w:r w:rsidR="003B507C">
        <w:rPr>
          <w:rFonts w:ascii="Arial" w:hAnsi="Arial" w:cs="Arial"/>
          <w:sz w:val="20"/>
          <w:szCs w:val="20"/>
        </w:rPr>
        <w:t xml:space="preserve">for the Group, including the divested assets, </w:t>
      </w:r>
      <w:r w:rsidRPr="000B13F3">
        <w:rPr>
          <w:rFonts w:ascii="Arial" w:hAnsi="Arial" w:cs="Arial"/>
          <w:sz w:val="20"/>
          <w:szCs w:val="20"/>
        </w:rPr>
        <w:t>for the year less a standard tax charge divided by the weighted average number of shares in issue in the year. Basic earnings per share reflect the actual tax charge.</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1531"/>
        <w:gridCol w:w="1531"/>
      </w:tblGrid>
      <w:tr w:rsidR="00CA358A" w:rsidRPr="000B13F3" w14:paraId="60A531E5" w14:textId="77777777" w:rsidTr="00AD2304">
        <w:trPr>
          <w:trHeight w:val="340"/>
        </w:trPr>
        <w:tc>
          <w:tcPr>
            <w:tcW w:w="6576" w:type="dxa"/>
            <w:tcBorders>
              <w:bottom w:val="single" w:sz="4" w:space="0" w:color="auto"/>
            </w:tcBorders>
            <w:vAlign w:val="bottom"/>
          </w:tcPr>
          <w:p w14:paraId="744025D1" w14:textId="77777777" w:rsidR="00CA358A" w:rsidRPr="000B13F3" w:rsidRDefault="00CA358A" w:rsidP="00CB5A5E">
            <w:pPr>
              <w:rPr>
                <w:rFonts w:ascii="Arial" w:hAnsi="Arial" w:cs="Arial"/>
                <w:b/>
                <w:bCs/>
                <w:sz w:val="20"/>
                <w:szCs w:val="20"/>
              </w:rPr>
            </w:pPr>
            <w:r w:rsidRPr="000B13F3">
              <w:rPr>
                <w:rFonts w:ascii="Arial" w:hAnsi="Arial" w:cs="Arial"/>
                <w:b/>
                <w:bCs/>
                <w:sz w:val="20"/>
                <w:szCs w:val="20"/>
              </w:rPr>
              <w:t>Earnings per share* (EPS)</w:t>
            </w:r>
          </w:p>
        </w:tc>
        <w:tc>
          <w:tcPr>
            <w:tcW w:w="1531" w:type="dxa"/>
            <w:tcBorders>
              <w:bottom w:val="single" w:sz="4" w:space="0" w:color="auto"/>
            </w:tcBorders>
            <w:vAlign w:val="center"/>
          </w:tcPr>
          <w:p w14:paraId="5BF7B5F0" w14:textId="42FD491D" w:rsidR="00CA358A" w:rsidRPr="000B13F3" w:rsidRDefault="002959ED" w:rsidP="00CB5A5E">
            <w:pPr>
              <w:jc w:val="right"/>
              <w:rPr>
                <w:rFonts w:ascii="Arial" w:hAnsi="Arial" w:cs="Arial"/>
                <w:b/>
                <w:bCs/>
                <w:sz w:val="20"/>
                <w:szCs w:val="20"/>
              </w:rPr>
            </w:pPr>
            <w:r w:rsidRPr="000B13F3">
              <w:rPr>
                <w:rFonts w:ascii="Arial" w:hAnsi="Arial" w:cs="Arial"/>
                <w:b/>
                <w:bCs/>
                <w:sz w:val="20"/>
                <w:szCs w:val="20"/>
              </w:rPr>
              <w:t>F</w:t>
            </w:r>
            <w:r w:rsidR="00CA358A" w:rsidRPr="000B13F3">
              <w:rPr>
                <w:rFonts w:ascii="Arial" w:hAnsi="Arial" w:cs="Arial"/>
                <w:b/>
                <w:bCs/>
                <w:sz w:val="20"/>
                <w:szCs w:val="20"/>
              </w:rPr>
              <w:t>Y2</w:t>
            </w:r>
            <w:r w:rsidR="0075459E">
              <w:rPr>
                <w:rFonts w:ascii="Arial" w:hAnsi="Arial" w:cs="Arial"/>
                <w:b/>
                <w:bCs/>
                <w:sz w:val="20"/>
                <w:szCs w:val="20"/>
              </w:rPr>
              <w:t>4</w:t>
            </w:r>
          </w:p>
        </w:tc>
        <w:tc>
          <w:tcPr>
            <w:tcW w:w="1531" w:type="dxa"/>
            <w:tcBorders>
              <w:bottom w:val="single" w:sz="4" w:space="0" w:color="auto"/>
            </w:tcBorders>
            <w:vAlign w:val="center"/>
          </w:tcPr>
          <w:p w14:paraId="490BB17F" w14:textId="03C59C98" w:rsidR="00CA358A" w:rsidRPr="000B13F3" w:rsidRDefault="0075459E" w:rsidP="00CB5A5E">
            <w:pPr>
              <w:jc w:val="right"/>
              <w:rPr>
                <w:rFonts w:ascii="Arial" w:hAnsi="Arial" w:cs="Arial"/>
                <w:b/>
                <w:bCs/>
                <w:sz w:val="20"/>
                <w:szCs w:val="20"/>
              </w:rPr>
            </w:pPr>
            <w:r>
              <w:rPr>
                <w:rFonts w:ascii="Arial" w:hAnsi="Arial" w:cs="Arial"/>
                <w:b/>
                <w:bCs/>
                <w:sz w:val="20"/>
                <w:szCs w:val="20"/>
              </w:rPr>
              <w:t>FY23</w:t>
            </w:r>
          </w:p>
        </w:tc>
      </w:tr>
      <w:tr w:rsidR="00CA358A" w:rsidRPr="000B13F3" w14:paraId="4BD70E31" w14:textId="77777777" w:rsidTr="00AD2304">
        <w:trPr>
          <w:trHeight w:val="340"/>
        </w:trPr>
        <w:tc>
          <w:tcPr>
            <w:tcW w:w="6576" w:type="dxa"/>
            <w:vAlign w:val="center"/>
          </w:tcPr>
          <w:p w14:paraId="3C781973" w14:textId="77777777" w:rsidR="00CA358A" w:rsidRPr="000B13F3" w:rsidRDefault="00CA358A" w:rsidP="00CB5A5E">
            <w:pPr>
              <w:rPr>
                <w:rFonts w:ascii="Arial" w:hAnsi="Arial" w:cs="Arial"/>
                <w:sz w:val="20"/>
                <w:szCs w:val="20"/>
              </w:rPr>
            </w:pPr>
            <w:r w:rsidRPr="000B13F3">
              <w:rPr>
                <w:rFonts w:ascii="Arial" w:hAnsi="Arial" w:cs="Arial"/>
                <w:sz w:val="20"/>
                <w:szCs w:val="20"/>
              </w:rPr>
              <w:t>Basic adjusted earnings per share</w:t>
            </w:r>
          </w:p>
        </w:tc>
        <w:tc>
          <w:tcPr>
            <w:tcW w:w="1531" w:type="dxa"/>
            <w:vAlign w:val="center"/>
          </w:tcPr>
          <w:p w14:paraId="667522E6" w14:textId="17BA625F" w:rsidR="00CA358A" w:rsidRPr="000B13F3" w:rsidRDefault="00AC1169" w:rsidP="00CB5A5E">
            <w:pPr>
              <w:jc w:val="right"/>
              <w:rPr>
                <w:rFonts w:ascii="Arial" w:hAnsi="Arial" w:cs="Arial"/>
                <w:sz w:val="20"/>
                <w:szCs w:val="20"/>
              </w:rPr>
            </w:pPr>
            <w:r>
              <w:rPr>
                <w:rFonts w:ascii="Arial" w:hAnsi="Arial" w:cs="Arial"/>
                <w:sz w:val="20"/>
                <w:szCs w:val="20"/>
              </w:rPr>
              <w:t>36.4</w:t>
            </w:r>
            <w:r w:rsidR="0075459E">
              <w:rPr>
                <w:rFonts w:ascii="Arial" w:hAnsi="Arial" w:cs="Arial"/>
                <w:sz w:val="20"/>
                <w:szCs w:val="20"/>
              </w:rPr>
              <w:t>p</w:t>
            </w:r>
          </w:p>
        </w:tc>
        <w:tc>
          <w:tcPr>
            <w:tcW w:w="1531" w:type="dxa"/>
            <w:vAlign w:val="center"/>
          </w:tcPr>
          <w:p w14:paraId="36C8AE64" w14:textId="645C9334" w:rsidR="00CA358A" w:rsidRPr="000B13F3" w:rsidRDefault="00AC1169" w:rsidP="00CB5A5E">
            <w:pPr>
              <w:jc w:val="right"/>
              <w:rPr>
                <w:rFonts w:ascii="Arial" w:hAnsi="Arial" w:cs="Arial"/>
                <w:sz w:val="20"/>
                <w:szCs w:val="20"/>
              </w:rPr>
            </w:pPr>
            <w:r>
              <w:rPr>
                <w:rFonts w:ascii="Arial" w:hAnsi="Arial" w:cs="Arial"/>
                <w:sz w:val="20"/>
                <w:szCs w:val="20"/>
              </w:rPr>
              <w:t>45.3</w:t>
            </w:r>
            <w:r w:rsidR="0075459E">
              <w:rPr>
                <w:rFonts w:ascii="Arial" w:hAnsi="Arial" w:cs="Arial"/>
                <w:sz w:val="20"/>
                <w:szCs w:val="20"/>
              </w:rPr>
              <w:t>p</w:t>
            </w:r>
          </w:p>
        </w:tc>
      </w:tr>
      <w:tr w:rsidR="00CA358A" w:rsidRPr="000B13F3" w14:paraId="66A141C4" w14:textId="77777777" w:rsidTr="00AD2304">
        <w:trPr>
          <w:trHeight w:val="340"/>
        </w:trPr>
        <w:tc>
          <w:tcPr>
            <w:tcW w:w="6576" w:type="dxa"/>
            <w:tcBorders>
              <w:bottom w:val="single" w:sz="4" w:space="0" w:color="auto"/>
            </w:tcBorders>
            <w:vAlign w:val="center"/>
          </w:tcPr>
          <w:p w14:paraId="14483BCE" w14:textId="54F48E12" w:rsidR="00CA358A" w:rsidRPr="000B13F3" w:rsidRDefault="00CA358A" w:rsidP="00CB5A5E">
            <w:pPr>
              <w:rPr>
                <w:rFonts w:ascii="Arial" w:hAnsi="Arial" w:cs="Arial"/>
                <w:sz w:val="20"/>
                <w:szCs w:val="20"/>
              </w:rPr>
            </w:pPr>
            <w:r w:rsidRPr="000B13F3">
              <w:rPr>
                <w:rFonts w:ascii="Arial" w:hAnsi="Arial" w:cs="Arial"/>
                <w:sz w:val="20"/>
                <w:szCs w:val="20"/>
              </w:rPr>
              <w:t xml:space="preserve">Basic </w:t>
            </w:r>
            <w:r w:rsidR="00D5704C" w:rsidRPr="000B13F3">
              <w:rPr>
                <w:rFonts w:ascii="Arial" w:hAnsi="Arial" w:cs="Arial"/>
                <w:sz w:val="20"/>
                <w:szCs w:val="20"/>
              </w:rPr>
              <w:t>(loss)</w:t>
            </w:r>
            <w:r w:rsidRPr="000B13F3">
              <w:rPr>
                <w:rFonts w:ascii="Arial" w:hAnsi="Arial" w:cs="Arial"/>
                <w:sz w:val="20"/>
                <w:szCs w:val="20"/>
              </w:rPr>
              <w:t xml:space="preserve"> per share</w:t>
            </w:r>
          </w:p>
        </w:tc>
        <w:tc>
          <w:tcPr>
            <w:tcW w:w="1531" w:type="dxa"/>
            <w:tcBorders>
              <w:bottom w:val="single" w:sz="4" w:space="0" w:color="auto"/>
            </w:tcBorders>
            <w:vAlign w:val="center"/>
          </w:tcPr>
          <w:p w14:paraId="322B04AF" w14:textId="44FB1E7B" w:rsidR="00CA358A" w:rsidRPr="000B13F3" w:rsidRDefault="00AC1169" w:rsidP="00CB5A5E">
            <w:pPr>
              <w:jc w:val="right"/>
              <w:rPr>
                <w:rFonts w:ascii="Arial" w:hAnsi="Arial" w:cs="Arial"/>
                <w:sz w:val="20"/>
                <w:szCs w:val="20"/>
              </w:rPr>
            </w:pPr>
            <w:r>
              <w:rPr>
                <w:rFonts w:ascii="Arial" w:hAnsi="Arial" w:cs="Arial"/>
                <w:sz w:val="20"/>
                <w:szCs w:val="20"/>
              </w:rPr>
              <w:t>(</w:t>
            </w:r>
            <w:proofErr w:type="gramStart"/>
            <w:r>
              <w:rPr>
                <w:rFonts w:ascii="Arial" w:hAnsi="Arial" w:cs="Arial"/>
                <w:sz w:val="20"/>
                <w:szCs w:val="20"/>
              </w:rPr>
              <w:t>10.6)p</w:t>
            </w:r>
            <w:proofErr w:type="gramEnd"/>
          </w:p>
        </w:tc>
        <w:tc>
          <w:tcPr>
            <w:tcW w:w="1531" w:type="dxa"/>
            <w:tcBorders>
              <w:bottom w:val="single" w:sz="4" w:space="0" w:color="auto"/>
            </w:tcBorders>
            <w:vAlign w:val="center"/>
          </w:tcPr>
          <w:p w14:paraId="375F85EA" w14:textId="70CD3BA2" w:rsidR="00CA358A" w:rsidRPr="000B13F3" w:rsidRDefault="00AC1169" w:rsidP="00CB5A5E">
            <w:pPr>
              <w:jc w:val="right"/>
              <w:rPr>
                <w:rFonts w:ascii="Arial" w:hAnsi="Arial" w:cs="Arial"/>
                <w:sz w:val="20"/>
                <w:szCs w:val="20"/>
              </w:rPr>
            </w:pPr>
            <w:r>
              <w:rPr>
                <w:rFonts w:ascii="Arial" w:hAnsi="Arial" w:cs="Arial"/>
                <w:sz w:val="20"/>
                <w:szCs w:val="20"/>
              </w:rPr>
              <w:t>(</w:t>
            </w:r>
            <w:proofErr w:type="gramStart"/>
            <w:r>
              <w:rPr>
                <w:rFonts w:ascii="Arial" w:hAnsi="Arial" w:cs="Arial"/>
                <w:sz w:val="20"/>
                <w:szCs w:val="20"/>
              </w:rPr>
              <w:t>3.9)p</w:t>
            </w:r>
            <w:proofErr w:type="gramEnd"/>
          </w:p>
        </w:tc>
      </w:tr>
    </w:tbl>
    <w:p w14:paraId="5364DB49" w14:textId="29F6BE0C" w:rsidR="00CA358A" w:rsidRPr="000B13F3" w:rsidRDefault="00CA358A" w:rsidP="00CA358A">
      <w:pPr>
        <w:jc w:val="both"/>
        <w:rPr>
          <w:rFonts w:ascii="Arial" w:hAnsi="Arial" w:cs="Arial"/>
          <w:sz w:val="20"/>
          <w:szCs w:val="20"/>
        </w:rPr>
      </w:pPr>
      <w:r w:rsidRPr="000B13F3">
        <w:rPr>
          <w:rFonts w:ascii="Arial" w:hAnsi="Arial" w:cs="Arial"/>
          <w:sz w:val="20"/>
          <w:szCs w:val="20"/>
        </w:rPr>
        <w:t xml:space="preserve">*Refer to note </w:t>
      </w:r>
      <w:r w:rsidR="003C1F08">
        <w:rPr>
          <w:rFonts w:ascii="Arial" w:hAnsi="Arial" w:cs="Arial"/>
          <w:sz w:val="20"/>
          <w:szCs w:val="20"/>
        </w:rPr>
        <w:t>5</w:t>
      </w:r>
    </w:p>
    <w:p w14:paraId="5F3D6C9D" w14:textId="1E382D55" w:rsidR="00CA358A" w:rsidRPr="000B13F3" w:rsidRDefault="00CA358A" w:rsidP="00CA358A">
      <w:pPr>
        <w:jc w:val="both"/>
        <w:rPr>
          <w:rFonts w:ascii="Arial" w:hAnsi="Arial" w:cs="Arial"/>
          <w:sz w:val="20"/>
          <w:szCs w:val="20"/>
        </w:rPr>
      </w:pPr>
      <w:r w:rsidRPr="000B13F3">
        <w:rPr>
          <w:rFonts w:ascii="Arial" w:hAnsi="Arial" w:cs="Arial"/>
          <w:b/>
          <w:bCs/>
          <w:sz w:val="20"/>
          <w:szCs w:val="20"/>
        </w:rPr>
        <w:t>Interest</w:t>
      </w:r>
      <w:r w:rsidRPr="000B13F3">
        <w:rPr>
          <w:rFonts w:ascii="Arial" w:hAnsi="Arial" w:cs="Arial"/>
          <w:sz w:val="20"/>
          <w:szCs w:val="20"/>
        </w:rPr>
        <w:t xml:space="preserve"> </w:t>
      </w:r>
    </w:p>
    <w:p w14:paraId="18015A35" w14:textId="79E5AE71" w:rsidR="0072011B" w:rsidRDefault="002959ED" w:rsidP="002959ED">
      <w:pPr>
        <w:jc w:val="both"/>
        <w:rPr>
          <w:rFonts w:ascii="Arial" w:hAnsi="Arial" w:cs="Arial"/>
          <w:sz w:val="20"/>
          <w:szCs w:val="20"/>
        </w:rPr>
      </w:pPr>
      <w:r w:rsidRPr="000B13F3">
        <w:rPr>
          <w:rFonts w:ascii="Arial" w:hAnsi="Arial" w:cs="Arial"/>
          <w:sz w:val="20"/>
          <w:szCs w:val="20"/>
        </w:rPr>
        <w:t>Finance costs, excluding exceptional finance costs, amounted to £</w:t>
      </w:r>
      <w:r w:rsidR="00AC1169">
        <w:rPr>
          <w:rFonts w:ascii="Arial" w:hAnsi="Arial" w:cs="Arial"/>
          <w:sz w:val="20"/>
          <w:szCs w:val="20"/>
        </w:rPr>
        <w:t>18.6</w:t>
      </w:r>
      <w:r w:rsidRPr="000B13F3">
        <w:rPr>
          <w:rFonts w:ascii="Arial" w:hAnsi="Arial" w:cs="Arial"/>
          <w:sz w:val="20"/>
          <w:szCs w:val="20"/>
        </w:rPr>
        <w:t xml:space="preserve"> million in the year (FY2</w:t>
      </w:r>
      <w:r w:rsidR="0075459E">
        <w:rPr>
          <w:rFonts w:ascii="Arial" w:hAnsi="Arial" w:cs="Arial"/>
          <w:sz w:val="20"/>
          <w:szCs w:val="20"/>
        </w:rPr>
        <w:t>3</w:t>
      </w:r>
      <w:r w:rsidRPr="000B13F3">
        <w:rPr>
          <w:rFonts w:ascii="Arial" w:hAnsi="Arial" w:cs="Arial"/>
          <w:sz w:val="20"/>
          <w:szCs w:val="20"/>
        </w:rPr>
        <w:t>: £</w:t>
      </w:r>
      <w:r w:rsidR="00AC1169">
        <w:rPr>
          <w:rFonts w:ascii="Arial" w:hAnsi="Arial" w:cs="Arial"/>
          <w:sz w:val="20"/>
          <w:szCs w:val="20"/>
        </w:rPr>
        <w:t>10.7</w:t>
      </w:r>
      <w:r w:rsidRPr="000B13F3">
        <w:rPr>
          <w:rFonts w:ascii="Arial" w:hAnsi="Arial" w:cs="Arial"/>
          <w:sz w:val="20"/>
          <w:szCs w:val="20"/>
        </w:rPr>
        <w:t xml:space="preserve"> million). This movement reflects the increased costs of borrowing driven by </w:t>
      </w:r>
      <w:r w:rsidR="007A42A4">
        <w:rPr>
          <w:rFonts w:ascii="Arial" w:hAnsi="Arial" w:cs="Arial"/>
          <w:sz w:val="20"/>
          <w:szCs w:val="20"/>
        </w:rPr>
        <w:t>interest rates</w:t>
      </w:r>
      <w:r w:rsidR="007A42A4" w:rsidRPr="000B13F3">
        <w:rPr>
          <w:rFonts w:ascii="Arial" w:hAnsi="Arial" w:cs="Arial"/>
          <w:sz w:val="20"/>
          <w:szCs w:val="20"/>
        </w:rPr>
        <w:t xml:space="preserve"> </w:t>
      </w:r>
      <w:r w:rsidRPr="000B13F3">
        <w:rPr>
          <w:rFonts w:ascii="Arial" w:hAnsi="Arial" w:cs="Arial"/>
          <w:sz w:val="20"/>
          <w:szCs w:val="20"/>
        </w:rPr>
        <w:t xml:space="preserve">and higher levels of utilisation of the Group’s debt facilities. </w:t>
      </w:r>
    </w:p>
    <w:p w14:paraId="46CFC4CF" w14:textId="327C520D" w:rsidR="000D4202" w:rsidRDefault="000D4202" w:rsidP="002959ED">
      <w:pPr>
        <w:jc w:val="both"/>
        <w:rPr>
          <w:rFonts w:ascii="Arial" w:hAnsi="Arial" w:cs="Arial"/>
          <w:sz w:val="20"/>
          <w:szCs w:val="20"/>
        </w:rPr>
      </w:pPr>
      <w:r w:rsidRPr="000D4202">
        <w:rPr>
          <w:rFonts w:ascii="Arial" w:hAnsi="Arial" w:cs="Arial"/>
          <w:sz w:val="20"/>
          <w:szCs w:val="20"/>
        </w:rPr>
        <w:lastRenderedPageBreak/>
        <w:t xml:space="preserve">As of 5 July 2024, the Group </w:t>
      </w:r>
      <w:r w:rsidR="00420B97">
        <w:rPr>
          <w:rFonts w:ascii="Arial" w:hAnsi="Arial" w:cs="Arial"/>
          <w:sz w:val="20"/>
          <w:szCs w:val="20"/>
        </w:rPr>
        <w:t>retained</w:t>
      </w:r>
      <w:r w:rsidR="00420B97" w:rsidRPr="000D4202">
        <w:rPr>
          <w:rFonts w:ascii="Arial" w:hAnsi="Arial" w:cs="Arial"/>
          <w:sz w:val="20"/>
          <w:szCs w:val="20"/>
        </w:rPr>
        <w:t xml:space="preserve"> </w:t>
      </w:r>
      <w:r w:rsidRPr="000D4202">
        <w:rPr>
          <w:rFonts w:ascii="Arial" w:hAnsi="Arial" w:cs="Arial"/>
          <w:sz w:val="20"/>
          <w:szCs w:val="20"/>
        </w:rPr>
        <w:t xml:space="preserve">a material net cash position following completion of the </w:t>
      </w:r>
      <w:r>
        <w:rPr>
          <w:rFonts w:ascii="Arial" w:hAnsi="Arial" w:cs="Arial"/>
          <w:sz w:val="20"/>
          <w:szCs w:val="20"/>
        </w:rPr>
        <w:t>D</w:t>
      </w:r>
      <w:r w:rsidRPr="000D4202">
        <w:rPr>
          <w:rFonts w:ascii="Arial" w:hAnsi="Arial" w:cs="Arial"/>
          <w:sz w:val="20"/>
          <w:szCs w:val="20"/>
        </w:rPr>
        <w:t xml:space="preserve">ivestment, the retirement of the debt facility and the return of £150 million to shareholders via a special dividend. The Group will return up to £75 million of further capital via a share buyback programme with programme having commenced on 5 July 2024. </w:t>
      </w:r>
    </w:p>
    <w:p w14:paraId="22F741FB" w14:textId="5B2BD6C1" w:rsidR="000D4202" w:rsidRPr="000B13F3" w:rsidRDefault="000D4202" w:rsidP="002959ED">
      <w:pPr>
        <w:jc w:val="both"/>
        <w:rPr>
          <w:rFonts w:ascii="Arial" w:hAnsi="Arial" w:cs="Arial"/>
          <w:sz w:val="20"/>
          <w:szCs w:val="20"/>
        </w:rPr>
      </w:pPr>
      <w:r w:rsidRPr="000D4202">
        <w:rPr>
          <w:rFonts w:ascii="Arial" w:hAnsi="Arial" w:cs="Arial"/>
          <w:sz w:val="20"/>
          <w:szCs w:val="20"/>
        </w:rPr>
        <w:t xml:space="preserve">On 24 June 2024, the Group </w:t>
      </w:r>
      <w:proofErr w:type="gramStart"/>
      <w:r w:rsidRPr="000D4202">
        <w:rPr>
          <w:rFonts w:ascii="Arial" w:hAnsi="Arial" w:cs="Arial"/>
          <w:sz w:val="20"/>
          <w:szCs w:val="20"/>
        </w:rPr>
        <w:t>entered into</w:t>
      </w:r>
      <w:proofErr w:type="gramEnd"/>
      <w:r w:rsidRPr="000D4202">
        <w:rPr>
          <w:rFonts w:ascii="Arial" w:hAnsi="Arial" w:cs="Arial"/>
          <w:sz w:val="20"/>
          <w:szCs w:val="20"/>
        </w:rPr>
        <w:t xml:space="preserve"> a new unsecured 3-year Revolving Credit Facility (“RCF”) of £50 million</w:t>
      </w:r>
      <w:r w:rsidR="00CF2206">
        <w:rPr>
          <w:rFonts w:ascii="Arial" w:hAnsi="Arial" w:cs="Arial"/>
          <w:sz w:val="20"/>
          <w:szCs w:val="20"/>
        </w:rPr>
        <w:t xml:space="preserve">, </w:t>
      </w:r>
      <w:r w:rsidR="00CF2206" w:rsidRPr="000D4202">
        <w:rPr>
          <w:rFonts w:ascii="Arial" w:hAnsi="Arial" w:cs="Arial"/>
          <w:sz w:val="20"/>
          <w:szCs w:val="20"/>
        </w:rPr>
        <w:t xml:space="preserve">which is currently undrawn </w:t>
      </w:r>
      <w:r w:rsidR="00CF2206">
        <w:rPr>
          <w:rFonts w:ascii="Arial" w:hAnsi="Arial" w:cs="Arial"/>
          <w:sz w:val="20"/>
          <w:szCs w:val="20"/>
        </w:rPr>
        <w:t xml:space="preserve">and </w:t>
      </w:r>
      <w:r w:rsidRPr="000D4202">
        <w:rPr>
          <w:rFonts w:ascii="Arial" w:hAnsi="Arial" w:cs="Arial"/>
          <w:sz w:val="20"/>
          <w:szCs w:val="20"/>
        </w:rPr>
        <w:t xml:space="preserve">an uncommitted accordion facility of £50 million. </w:t>
      </w:r>
    </w:p>
    <w:p w14:paraId="66A05E82" w14:textId="1EBE5498" w:rsidR="00CA358A" w:rsidRPr="000B13F3" w:rsidRDefault="00CA358A" w:rsidP="002959ED">
      <w:pPr>
        <w:jc w:val="both"/>
        <w:rPr>
          <w:rFonts w:ascii="Arial" w:hAnsi="Arial" w:cs="Arial"/>
          <w:sz w:val="20"/>
          <w:szCs w:val="20"/>
        </w:rPr>
      </w:pPr>
      <w:r w:rsidRPr="000B13F3">
        <w:rPr>
          <w:rFonts w:ascii="Arial" w:hAnsi="Arial" w:cs="Arial"/>
          <w:b/>
          <w:bCs/>
          <w:sz w:val="20"/>
          <w:szCs w:val="20"/>
        </w:rPr>
        <w:t>Taxation</w:t>
      </w:r>
      <w:r w:rsidRPr="000B13F3">
        <w:rPr>
          <w:rFonts w:ascii="Arial" w:hAnsi="Arial" w:cs="Arial"/>
          <w:sz w:val="20"/>
          <w:szCs w:val="20"/>
        </w:rPr>
        <w:t xml:space="preserve"> </w:t>
      </w:r>
    </w:p>
    <w:p w14:paraId="31567CA4" w14:textId="3BDA8647" w:rsidR="00CA358A" w:rsidRPr="000B13F3" w:rsidRDefault="00CA358A" w:rsidP="00CA358A">
      <w:pPr>
        <w:jc w:val="both"/>
        <w:rPr>
          <w:rFonts w:ascii="Arial" w:hAnsi="Arial" w:cs="Arial"/>
          <w:sz w:val="20"/>
          <w:szCs w:val="20"/>
        </w:rPr>
      </w:pPr>
      <w:r w:rsidRPr="000B13F3">
        <w:rPr>
          <w:rFonts w:ascii="Arial" w:hAnsi="Arial" w:cs="Arial"/>
          <w:sz w:val="20"/>
          <w:szCs w:val="20"/>
        </w:rPr>
        <w:t xml:space="preserve">UK Corporation Tax is calculated at </w:t>
      </w:r>
      <w:r w:rsidR="0075459E">
        <w:rPr>
          <w:rFonts w:ascii="Arial" w:hAnsi="Arial" w:cs="Arial"/>
          <w:sz w:val="20"/>
          <w:szCs w:val="20"/>
        </w:rPr>
        <w:t>25</w:t>
      </w:r>
      <w:r w:rsidRPr="000B13F3">
        <w:rPr>
          <w:rFonts w:ascii="Arial" w:hAnsi="Arial" w:cs="Arial"/>
          <w:sz w:val="20"/>
          <w:szCs w:val="20"/>
        </w:rPr>
        <w:t>% (FY2</w:t>
      </w:r>
      <w:r w:rsidR="0075459E">
        <w:rPr>
          <w:rFonts w:ascii="Arial" w:hAnsi="Arial" w:cs="Arial"/>
          <w:sz w:val="20"/>
          <w:szCs w:val="20"/>
        </w:rPr>
        <w:t>3</w:t>
      </w:r>
      <w:r w:rsidRPr="000B13F3">
        <w:rPr>
          <w:rFonts w:ascii="Arial" w:hAnsi="Arial" w:cs="Arial"/>
          <w:sz w:val="20"/>
          <w:szCs w:val="20"/>
        </w:rPr>
        <w:t xml:space="preserve">: </w:t>
      </w:r>
      <w:r w:rsidR="00F71FAE">
        <w:rPr>
          <w:rFonts w:ascii="Arial" w:hAnsi="Arial" w:cs="Arial"/>
          <w:sz w:val="20"/>
          <w:szCs w:val="20"/>
        </w:rPr>
        <w:t>19</w:t>
      </w:r>
      <w:r w:rsidRPr="000B13F3">
        <w:rPr>
          <w:rFonts w:ascii="Arial" w:hAnsi="Arial" w:cs="Arial"/>
          <w:sz w:val="20"/>
          <w:szCs w:val="20"/>
        </w:rPr>
        <w:t xml:space="preserve">%) of the estimated assessable profit for the year. In addition, deferred taxes at the statement of financial position date </w:t>
      </w:r>
      <w:r w:rsidR="002A3608" w:rsidRPr="000B13F3">
        <w:rPr>
          <w:rFonts w:ascii="Arial" w:hAnsi="Arial" w:cs="Arial"/>
          <w:sz w:val="20"/>
          <w:szCs w:val="20"/>
        </w:rPr>
        <w:t>were</w:t>
      </w:r>
      <w:r w:rsidRPr="000B13F3">
        <w:rPr>
          <w:rFonts w:ascii="Arial" w:hAnsi="Arial" w:cs="Arial"/>
          <w:sz w:val="20"/>
          <w:szCs w:val="20"/>
        </w:rPr>
        <w:t xml:space="preserve"> remeasured to reflect the 25% tax rate from 1 April 2023. </w:t>
      </w:r>
    </w:p>
    <w:p w14:paraId="37F67C1F" w14:textId="6274A237" w:rsidR="00B45633" w:rsidRPr="000B13F3" w:rsidRDefault="00B45633" w:rsidP="00B45633">
      <w:pPr>
        <w:jc w:val="both"/>
        <w:rPr>
          <w:rFonts w:ascii="Arial" w:hAnsi="Arial" w:cs="Arial"/>
          <w:sz w:val="20"/>
          <w:szCs w:val="20"/>
        </w:rPr>
      </w:pPr>
      <w:r w:rsidRPr="000B13F3">
        <w:rPr>
          <w:rFonts w:ascii="Arial" w:hAnsi="Arial" w:cs="Arial"/>
          <w:b/>
          <w:bCs/>
          <w:sz w:val="20"/>
          <w:szCs w:val="20"/>
        </w:rPr>
        <w:t>Statement of financial position</w:t>
      </w:r>
      <w:r w:rsidRPr="000B13F3">
        <w:rPr>
          <w:rFonts w:ascii="Arial" w:hAnsi="Arial" w:cs="Arial"/>
          <w:sz w:val="20"/>
          <w:szCs w:val="20"/>
        </w:rPr>
        <w:t xml:space="preserve"> </w:t>
      </w:r>
    </w:p>
    <w:p w14:paraId="0554C824" w14:textId="0767385E" w:rsidR="00A64DA8" w:rsidRDefault="002959ED" w:rsidP="00B45633">
      <w:pPr>
        <w:jc w:val="both"/>
        <w:rPr>
          <w:rFonts w:ascii="Arial" w:hAnsi="Arial" w:cs="Arial"/>
          <w:sz w:val="20"/>
          <w:szCs w:val="20"/>
        </w:rPr>
      </w:pPr>
      <w:r w:rsidRPr="000B13F3">
        <w:rPr>
          <w:rFonts w:ascii="Arial" w:hAnsi="Arial" w:cs="Arial"/>
          <w:sz w:val="20"/>
          <w:szCs w:val="20"/>
        </w:rPr>
        <w:t xml:space="preserve">The Group maintains a strong balance sheet with net assets as </w:t>
      </w:r>
      <w:proofErr w:type="gramStart"/>
      <w:r w:rsidRPr="000B13F3">
        <w:rPr>
          <w:rFonts w:ascii="Arial" w:hAnsi="Arial" w:cs="Arial"/>
          <w:sz w:val="20"/>
          <w:szCs w:val="20"/>
        </w:rPr>
        <w:t>at</w:t>
      </w:r>
      <w:proofErr w:type="gramEnd"/>
      <w:r w:rsidRPr="000B13F3">
        <w:rPr>
          <w:rFonts w:ascii="Arial" w:hAnsi="Arial" w:cs="Arial"/>
          <w:sz w:val="20"/>
          <w:szCs w:val="20"/>
        </w:rPr>
        <w:t xml:space="preserve"> 31 March 202</w:t>
      </w:r>
      <w:r w:rsidR="0075459E">
        <w:rPr>
          <w:rFonts w:ascii="Arial" w:hAnsi="Arial" w:cs="Arial"/>
          <w:sz w:val="20"/>
          <w:szCs w:val="20"/>
        </w:rPr>
        <w:t>4</w:t>
      </w:r>
      <w:r w:rsidRPr="000B13F3">
        <w:rPr>
          <w:rFonts w:ascii="Arial" w:hAnsi="Arial" w:cs="Arial"/>
          <w:sz w:val="20"/>
          <w:szCs w:val="20"/>
        </w:rPr>
        <w:t xml:space="preserve"> of £</w:t>
      </w:r>
      <w:r w:rsidR="0075459E">
        <w:rPr>
          <w:rFonts w:ascii="Arial" w:hAnsi="Arial" w:cs="Arial"/>
          <w:sz w:val="20"/>
          <w:szCs w:val="20"/>
        </w:rPr>
        <w:t>4</w:t>
      </w:r>
      <w:r w:rsidR="004406D4">
        <w:rPr>
          <w:rFonts w:ascii="Arial" w:hAnsi="Arial" w:cs="Arial"/>
          <w:sz w:val="20"/>
          <w:szCs w:val="20"/>
        </w:rPr>
        <w:t>3</w:t>
      </w:r>
      <w:r w:rsidR="00AC1169">
        <w:rPr>
          <w:rFonts w:ascii="Arial" w:hAnsi="Arial" w:cs="Arial"/>
          <w:sz w:val="20"/>
          <w:szCs w:val="20"/>
        </w:rPr>
        <w:t>7.5</w:t>
      </w:r>
      <w:r w:rsidR="002D2999">
        <w:rPr>
          <w:rFonts w:ascii="Arial" w:hAnsi="Arial" w:cs="Arial"/>
          <w:sz w:val="20"/>
          <w:szCs w:val="20"/>
        </w:rPr>
        <w:t xml:space="preserve"> </w:t>
      </w:r>
      <w:r w:rsidRPr="000B13F3">
        <w:rPr>
          <w:rFonts w:ascii="Arial" w:hAnsi="Arial" w:cs="Arial"/>
          <w:sz w:val="20"/>
          <w:szCs w:val="20"/>
        </w:rPr>
        <w:t>million (31 March 202</w:t>
      </w:r>
      <w:r w:rsidR="0075459E">
        <w:rPr>
          <w:rFonts w:ascii="Arial" w:hAnsi="Arial" w:cs="Arial"/>
          <w:sz w:val="20"/>
          <w:szCs w:val="20"/>
        </w:rPr>
        <w:t>3</w:t>
      </w:r>
      <w:r w:rsidRPr="000B13F3">
        <w:rPr>
          <w:rFonts w:ascii="Arial" w:hAnsi="Arial" w:cs="Arial"/>
          <w:sz w:val="20"/>
          <w:szCs w:val="20"/>
        </w:rPr>
        <w:t>: £</w:t>
      </w:r>
      <w:r w:rsidR="0075459E">
        <w:rPr>
          <w:rFonts w:ascii="Arial" w:hAnsi="Arial" w:cs="Arial"/>
          <w:sz w:val="20"/>
          <w:szCs w:val="20"/>
        </w:rPr>
        <w:t>443.3</w:t>
      </w:r>
      <w:r w:rsidR="002D2999">
        <w:rPr>
          <w:rFonts w:ascii="Arial" w:hAnsi="Arial" w:cs="Arial"/>
          <w:sz w:val="20"/>
          <w:szCs w:val="20"/>
        </w:rPr>
        <w:t xml:space="preserve"> </w:t>
      </w:r>
      <w:r w:rsidRPr="000B13F3">
        <w:rPr>
          <w:rFonts w:ascii="Arial" w:hAnsi="Arial" w:cs="Arial"/>
          <w:sz w:val="20"/>
          <w:szCs w:val="20"/>
        </w:rPr>
        <w:t>million</w:t>
      </w:r>
      <w:r w:rsidR="00E11B46">
        <w:rPr>
          <w:rFonts w:ascii="Arial" w:hAnsi="Arial" w:cs="Arial"/>
          <w:sz w:val="20"/>
          <w:szCs w:val="20"/>
        </w:rPr>
        <w:t>)</w:t>
      </w:r>
      <w:r w:rsidRPr="000B13F3">
        <w:rPr>
          <w:rFonts w:ascii="Arial" w:hAnsi="Arial" w:cs="Arial"/>
          <w:sz w:val="20"/>
          <w:szCs w:val="20"/>
        </w:rPr>
        <w:t xml:space="preserve">. </w:t>
      </w:r>
      <w:r w:rsidR="00A64DA8" w:rsidRPr="000B13F3">
        <w:rPr>
          <w:rFonts w:ascii="Arial" w:hAnsi="Arial" w:cs="Arial"/>
          <w:sz w:val="20"/>
          <w:szCs w:val="20"/>
        </w:rPr>
        <w:t>At the same date total assets were £</w:t>
      </w:r>
      <w:r w:rsidR="0075459E">
        <w:rPr>
          <w:rFonts w:ascii="Arial" w:hAnsi="Arial" w:cs="Arial"/>
          <w:sz w:val="20"/>
          <w:szCs w:val="20"/>
        </w:rPr>
        <w:t>8</w:t>
      </w:r>
      <w:r w:rsidR="00833CEF">
        <w:rPr>
          <w:rFonts w:ascii="Arial" w:hAnsi="Arial" w:cs="Arial"/>
          <w:sz w:val="20"/>
          <w:szCs w:val="20"/>
        </w:rPr>
        <w:t>9</w:t>
      </w:r>
      <w:r w:rsidR="00FD35E9">
        <w:rPr>
          <w:rFonts w:ascii="Arial" w:hAnsi="Arial" w:cs="Arial"/>
          <w:sz w:val="20"/>
          <w:szCs w:val="20"/>
        </w:rPr>
        <w:t>0.3</w:t>
      </w:r>
      <w:r w:rsidR="00A64DA8" w:rsidRPr="000B13F3">
        <w:rPr>
          <w:rFonts w:ascii="Arial" w:hAnsi="Arial" w:cs="Arial"/>
          <w:sz w:val="20"/>
          <w:szCs w:val="20"/>
        </w:rPr>
        <w:t xml:space="preserve"> million (202</w:t>
      </w:r>
      <w:r w:rsidR="0075459E">
        <w:rPr>
          <w:rFonts w:ascii="Arial" w:hAnsi="Arial" w:cs="Arial"/>
          <w:sz w:val="20"/>
          <w:szCs w:val="20"/>
        </w:rPr>
        <w:t>3</w:t>
      </w:r>
      <w:r w:rsidR="00A64DA8" w:rsidRPr="000B13F3">
        <w:rPr>
          <w:rFonts w:ascii="Arial" w:hAnsi="Arial" w:cs="Arial"/>
          <w:sz w:val="20"/>
          <w:szCs w:val="20"/>
        </w:rPr>
        <w:t>: £</w:t>
      </w:r>
      <w:r w:rsidR="0075459E" w:rsidRPr="000B13F3">
        <w:rPr>
          <w:rFonts w:ascii="Arial" w:hAnsi="Arial" w:cs="Arial"/>
          <w:sz w:val="20"/>
          <w:szCs w:val="20"/>
        </w:rPr>
        <w:t xml:space="preserve">851.4 </w:t>
      </w:r>
      <w:r w:rsidR="00A64DA8" w:rsidRPr="000B13F3">
        <w:rPr>
          <w:rFonts w:ascii="Arial" w:hAnsi="Arial" w:cs="Arial"/>
          <w:sz w:val="20"/>
          <w:szCs w:val="20"/>
        </w:rPr>
        <w:t>million), and total liabilities were £</w:t>
      </w:r>
      <w:r w:rsidR="0075459E">
        <w:rPr>
          <w:rFonts w:ascii="Arial" w:hAnsi="Arial" w:cs="Arial"/>
          <w:sz w:val="20"/>
          <w:szCs w:val="20"/>
        </w:rPr>
        <w:t>4</w:t>
      </w:r>
      <w:r w:rsidR="00833CEF">
        <w:rPr>
          <w:rFonts w:ascii="Arial" w:hAnsi="Arial" w:cs="Arial"/>
          <w:sz w:val="20"/>
          <w:szCs w:val="20"/>
        </w:rPr>
        <w:t>5</w:t>
      </w:r>
      <w:r w:rsidR="00C81769">
        <w:rPr>
          <w:rFonts w:ascii="Arial" w:hAnsi="Arial" w:cs="Arial"/>
          <w:sz w:val="20"/>
          <w:szCs w:val="20"/>
        </w:rPr>
        <w:t>8.7</w:t>
      </w:r>
      <w:r w:rsidR="002D2999">
        <w:rPr>
          <w:rFonts w:ascii="Arial" w:hAnsi="Arial" w:cs="Arial"/>
          <w:sz w:val="20"/>
          <w:szCs w:val="20"/>
        </w:rPr>
        <w:t xml:space="preserve"> </w:t>
      </w:r>
      <w:r w:rsidR="00A64DA8" w:rsidRPr="000B13F3">
        <w:rPr>
          <w:rFonts w:ascii="Arial" w:hAnsi="Arial" w:cs="Arial"/>
          <w:sz w:val="20"/>
          <w:szCs w:val="20"/>
        </w:rPr>
        <w:t>million (202</w:t>
      </w:r>
      <w:r w:rsidR="0075459E">
        <w:rPr>
          <w:rFonts w:ascii="Arial" w:hAnsi="Arial" w:cs="Arial"/>
          <w:sz w:val="20"/>
          <w:szCs w:val="20"/>
        </w:rPr>
        <w:t>3</w:t>
      </w:r>
      <w:r w:rsidR="00A64DA8" w:rsidRPr="000B13F3">
        <w:rPr>
          <w:rFonts w:ascii="Arial" w:hAnsi="Arial" w:cs="Arial"/>
          <w:sz w:val="20"/>
          <w:szCs w:val="20"/>
        </w:rPr>
        <w:t>: £</w:t>
      </w:r>
      <w:r w:rsidR="0075459E" w:rsidRPr="000B13F3">
        <w:rPr>
          <w:rFonts w:ascii="Arial" w:hAnsi="Arial" w:cs="Arial"/>
          <w:sz w:val="20"/>
          <w:szCs w:val="20"/>
        </w:rPr>
        <w:t>408.1</w:t>
      </w:r>
      <w:r w:rsidR="0075459E">
        <w:rPr>
          <w:rFonts w:ascii="Arial" w:hAnsi="Arial" w:cs="Arial"/>
          <w:sz w:val="20"/>
          <w:szCs w:val="20"/>
        </w:rPr>
        <w:t xml:space="preserve"> </w:t>
      </w:r>
      <w:r w:rsidR="00A64DA8" w:rsidRPr="000B13F3">
        <w:rPr>
          <w:rFonts w:ascii="Arial" w:hAnsi="Arial" w:cs="Arial"/>
          <w:sz w:val="20"/>
          <w:szCs w:val="20"/>
        </w:rPr>
        <w:t xml:space="preserve">million). Total assets </w:t>
      </w:r>
      <w:r w:rsidR="0075459E">
        <w:rPr>
          <w:rFonts w:ascii="Arial" w:hAnsi="Arial" w:cs="Arial"/>
          <w:sz w:val="20"/>
          <w:szCs w:val="20"/>
        </w:rPr>
        <w:t xml:space="preserve">primarily </w:t>
      </w:r>
      <w:r w:rsidR="004406D4" w:rsidRPr="000B13F3">
        <w:rPr>
          <w:rFonts w:ascii="Arial" w:hAnsi="Arial" w:cs="Arial"/>
          <w:sz w:val="20"/>
          <w:szCs w:val="20"/>
        </w:rPr>
        <w:t>consist</w:t>
      </w:r>
      <w:r w:rsidR="0075459E">
        <w:rPr>
          <w:rFonts w:ascii="Arial" w:hAnsi="Arial" w:cs="Arial"/>
          <w:sz w:val="20"/>
          <w:szCs w:val="20"/>
        </w:rPr>
        <w:t xml:space="preserve"> </w:t>
      </w:r>
      <w:r w:rsidR="00A64DA8" w:rsidRPr="000B13F3">
        <w:rPr>
          <w:rFonts w:ascii="Arial" w:hAnsi="Arial" w:cs="Arial"/>
          <w:sz w:val="20"/>
          <w:szCs w:val="20"/>
        </w:rPr>
        <w:t>of</w:t>
      </w:r>
      <w:r w:rsidR="0075459E">
        <w:rPr>
          <w:rFonts w:ascii="Arial" w:hAnsi="Arial" w:cs="Arial"/>
          <w:sz w:val="20"/>
          <w:szCs w:val="20"/>
        </w:rPr>
        <w:t xml:space="preserve"> assets</w:t>
      </w:r>
      <w:r w:rsidR="00833CEF">
        <w:rPr>
          <w:rFonts w:ascii="Arial" w:hAnsi="Arial" w:cs="Arial"/>
          <w:sz w:val="20"/>
          <w:szCs w:val="20"/>
        </w:rPr>
        <w:t xml:space="preserve"> held for sale</w:t>
      </w:r>
      <w:r w:rsidR="0075459E">
        <w:rPr>
          <w:rFonts w:ascii="Arial" w:hAnsi="Arial" w:cs="Arial"/>
          <w:sz w:val="20"/>
          <w:szCs w:val="20"/>
        </w:rPr>
        <w:t xml:space="preserve"> of £</w:t>
      </w:r>
      <w:r w:rsidR="00AC1169">
        <w:rPr>
          <w:rFonts w:ascii="Arial" w:hAnsi="Arial" w:cs="Arial"/>
          <w:sz w:val="20"/>
          <w:szCs w:val="20"/>
        </w:rPr>
        <w:t>398.</w:t>
      </w:r>
      <w:r w:rsidR="00833CEF">
        <w:rPr>
          <w:rFonts w:ascii="Arial" w:hAnsi="Arial" w:cs="Arial"/>
          <w:sz w:val="20"/>
          <w:szCs w:val="20"/>
        </w:rPr>
        <w:t>2</w:t>
      </w:r>
      <w:r w:rsidR="0075459E">
        <w:rPr>
          <w:rFonts w:ascii="Arial" w:hAnsi="Arial" w:cs="Arial"/>
          <w:sz w:val="20"/>
          <w:szCs w:val="20"/>
        </w:rPr>
        <w:t xml:space="preserve"> million related to </w:t>
      </w:r>
      <w:r w:rsidR="0083220C">
        <w:rPr>
          <w:rFonts w:ascii="Arial" w:hAnsi="Arial" w:cs="Arial"/>
          <w:sz w:val="20"/>
          <w:szCs w:val="20"/>
        </w:rPr>
        <w:t>t</w:t>
      </w:r>
      <w:r w:rsidR="0075459E">
        <w:rPr>
          <w:rFonts w:ascii="Arial" w:hAnsi="Arial" w:cs="Arial"/>
          <w:sz w:val="20"/>
          <w:szCs w:val="20"/>
        </w:rPr>
        <w:t xml:space="preserve">he Divestment and </w:t>
      </w:r>
      <w:r w:rsidR="00A64DA8" w:rsidRPr="000B13F3">
        <w:rPr>
          <w:rFonts w:ascii="Arial" w:hAnsi="Arial" w:cs="Arial"/>
          <w:sz w:val="20"/>
          <w:szCs w:val="20"/>
        </w:rPr>
        <w:t>intangible assets of £</w:t>
      </w:r>
      <w:r w:rsidR="0075459E">
        <w:rPr>
          <w:rFonts w:ascii="Arial" w:hAnsi="Arial" w:cs="Arial"/>
          <w:sz w:val="20"/>
          <w:szCs w:val="20"/>
        </w:rPr>
        <w:t>3</w:t>
      </w:r>
      <w:r w:rsidR="00AC1169">
        <w:rPr>
          <w:rFonts w:ascii="Arial" w:hAnsi="Arial" w:cs="Arial"/>
          <w:sz w:val="20"/>
          <w:szCs w:val="20"/>
        </w:rPr>
        <w:t>43.</w:t>
      </w:r>
      <w:r w:rsidR="00833CEF">
        <w:rPr>
          <w:rFonts w:ascii="Arial" w:hAnsi="Arial" w:cs="Arial"/>
          <w:sz w:val="20"/>
          <w:szCs w:val="20"/>
        </w:rPr>
        <w:t>2</w:t>
      </w:r>
      <w:r w:rsidR="00A64DA8" w:rsidRPr="000B13F3">
        <w:rPr>
          <w:rFonts w:ascii="Arial" w:hAnsi="Arial" w:cs="Arial"/>
          <w:sz w:val="20"/>
          <w:szCs w:val="20"/>
        </w:rPr>
        <w:t xml:space="preserve"> million and trade and other receivable of £</w:t>
      </w:r>
      <w:r w:rsidR="0075459E">
        <w:rPr>
          <w:rFonts w:ascii="Arial" w:hAnsi="Arial" w:cs="Arial"/>
          <w:sz w:val="20"/>
          <w:szCs w:val="20"/>
        </w:rPr>
        <w:t xml:space="preserve">98.0 </w:t>
      </w:r>
      <w:r w:rsidR="00A64DA8" w:rsidRPr="000B13F3">
        <w:rPr>
          <w:rFonts w:ascii="Arial" w:hAnsi="Arial" w:cs="Arial"/>
          <w:sz w:val="20"/>
          <w:szCs w:val="20"/>
        </w:rPr>
        <w:t>million. Total liabilities include bank loans of £</w:t>
      </w:r>
      <w:r w:rsidR="008E2674">
        <w:rPr>
          <w:rFonts w:ascii="Arial" w:hAnsi="Arial" w:cs="Arial"/>
          <w:sz w:val="20"/>
          <w:szCs w:val="20"/>
        </w:rPr>
        <w:t>206.0</w:t>
      </w:r>
      <w:r w:rsidR="00A64DA8" w:rsidRPr="000B13F3">
        <w:rPr>
          <w:rFonts w:ascii="Arial" w:hAnsi="Arial" w:cs="Arial"/>
          <w:sz w:val="20"/>
          <w:szCs w:val="20"/>
        </w:rPr>
        <w:t xml:space="preserve"> million</w:t>
      </w:r>
      <w:r w:rsidR="00933713">
        <w:rPr>
          <w:rFonts w:ascii="Arial" w:hAnsi="Arial" w:cs="Arial"/>
          <w:sz w:val="20"/>
          <w:szCs w:val="20"/>
        </w:rPr>
        <w:t xml:space="preserve">, which were repaid following the </w:t>
      </w:r>
      <w:r w:rsidR="004925E8">
        <w:rPr>
          <w:rFonts w:ascii="Arial" w:hAnsi="Arial" w:cs="Arial"/>
          <w:sz w:val="20"/>
          <w:szCs w:val="20"/>
        </w:rPr>
        <w:t xml:space="preserve">transaction, </w:t>
      </w:r>
      <w:r w:rsidR="004925E8" w:rsidRPr="000B13F3">
        <w:rPr>
          <w:rFonts w:ascii="Arial" w:hAnsi="Arial" w:cs="Arial"/>
          <w:sz w:val="20"/>
          <w:szCs w:val="20"/>
        </w:rPr>
        <w:t>and</w:t>
      </w:r>
      <w:r w:rsidR="00A64DA8" w:rsidRPr="000B13F3">
        <w:rPr>
          <w:rFonts w:ascii="Arial" w:hAnsi="Arial" w:cs="Arial"/>
          <w:sz w:val="20"/>
          <w:szCs w:val="20"/>
        </w:rPr>
        <w:t xml:space="preserve"> trade and other payables of £</w:t>
      </w:r>
      <w:r w:rsidR="008E2674">
        <w:rPr>
          <w:rFonts w:ascii="Arial" w:hAnsi="Arial" w:cs="Arial"/>
          <w:sz w:val="20"/>
          <w:szCs w:val="20"/>
        </w:rPr>
        <w:t>8</w:t>
      </w:r>
      <w:r w:rsidR="00AC1169">
        <w:rPr>
          <w:rFonts w:ascii="Arial" w:hAnsi="Arial" w:cs="Arial"/>
          <w:sz w:val="20"/>
          <w:szCs w:val="20"/>
        </w:rPr>
        <w:t>3.5</w:t>
      </w:r>
      <w:r w:rsidR="008E2674">
        <w:rPr>
          <w:rFonts w:ascii="Arial" w:hAnsi="Arial" w:cs="Arial"/>
          <w:sz w:val="20"/>
          <w:szCs w:val="20"/>
        </w:rPr>
        <w:t xml:space="preserve"> </w:t>
      </w:r>
      <w:r w:rsidR="00A64DA8" w:rsidRPr="000B13F3">
        <w:rPr>
          <w:rFonts w:ascii="Arial" w:hAnsi="Arial" w:cs="Arial"/>
          <w:sz w:val="20"/>
          <w:szCs w:val="20"/>
        </w:rPr>
        <w:t>million</w:t>
      </w:r>
      <w:r w:rsidR="008E2674">
        <w:rPr>
          <w:rFonts w:ascii="Arial" w:hAnsi="Arial" w:cs="Arial"/>
          <w:sz w:val="20"/>
          <w:szCs w:val="20"/>
        </w:rPr>
        <w:t xml:space="preserve"> and liabilities </w:t>
      </w:r>
      <w:r w:rsidR="00833CEF">
        <w:rPr>
          <w:rFonts w:ascii="Arial" w:hAnsi="Arial" w:cs="Arial"/>
          <w:sz w:val="20"/>
          <w:szCs w:val="20"/>
        </w:rPr>
        <w:t xml:space="preserve">directly associated with assets classified as held for sale </w:t>
      </w:r>
      <w:r w:rsidR="008E2674">
        <w:rPr>
          <w:rFonts w:ascii="Arial" w:hAnsi="Arial" w:cs="Arial"/>
          <w:sz w:val="20"/>
          <w:szCs w:val="20"/>
        </w:rPr>
        <w:t>of £</w:t>
      </w:r>
      <w:r w:rsidR="00833CEF">
        <w:rPr>
          <w:rFonts w:ascii="Arial" w:hAnsi="Arial" w:cs="Arial"/>
          <w:sz w:val="20"/>
          <w:szCs w:val="20"/>
        </w:rPr>
        <w:t>8</w:t>
      </w:r>
      <w:r w:rsidR="00C81769">
        <w:rPr>
          <w:rFonts w:ascii="Arial" w:hAnsi="Arial" w:cs="Arial"/>
          <w:sz w:val="20"/>
          <w:szCs w:val="20"/>
        </w:rPr>
        <w:t>2</w:t>
      </w:r>
      <w:r w:rsidR="00833CEF">
        <w:rPr>
          <w:rFonts w:ascii="Arial" w:hAnsi="Arial" w:cs="Arial"/>
          <w:sz w:val="20"/>
          <w:szCs w:val="20"/>
        </w:rPr>
        <w:t>.</w:t>
      </w:r>
      <w:r w:rsidR="00C81769">
        <w:rPr>
          <w:rFonts w:ascii="Arial" w:hAnsi="Arial" w:cs="Arial"/>
          <w:sz w:val="20"/>
          <w:szCs w:val="20"/>
        </w:rPr>
        <w:t>3</w:t>
      </w:r>
      <w:r w:rsidR="008E2674">
        <w:rPr>
          <w:rFonts w:ascii="Arial" w:hAnsi="Arial" w:cs="Arial"/>
          <w:sz w:val="20"/>
          <w:szCs w:val="20"/>
        </w:rPr>
        <w:t xml:space="preserve"> million</w:t>
      </w:r>
      <w:r w:rsidR="00A64DA8" w:rsidRPr="000B13F3">
        <w:rPr>
          <w:rFonts w:ascii="Arial" w:hAnsi="Arial" w:cs="Arial"/>
          <w:sz w:val="20"/>
          <w:szCs w:val="20"/>
        </w:rPr>
        <w:t>.</w:t>
      </w:r>
    </w:p>
    <w:p w14:paraId="12CB4F7C" w14:textId="39C56C8C" w:rsidR="00E951BA" w:rsidRPr="000B13F3" w:rsidRDefault="00E951BA" w:rsidP="00B45633">
      <w:pPr>
        <w:jc w:val="both"/>
        <w:rPr>
          <w:rFonts w:ascii="Arial" w:hAnsi="Arial" w:cs="Arial"/>
          <w:sz w:val="20"/>
          <w:szCs w:val="20"/>
        </w:rPr>
      </w:pPr>
      <w:r>
        <w:rPr>
          <w:rFonts w:ascii="Arial" w:hAnsi="Arial" w:cs="Arial"/>
          <w:sz w:val="20"/>
          <w:szCs w:val="20"/>
        </w:rPr>
        <w:t xml:space="preserve">As </w:t>
      </w:r>
      <w:proofErr w:type="gramStart"/>
      <w:r>
        <w:rPr>
          <w:rFonts w:ascii="Arial" w:hAnsi="Arial" w:cs="Arial"/>
          <w:sz w:val="20"/>
          <w:szCs w:val="20"/>
        </w:rPr>
        <w:t>a</w:t>
      </w:r>
      <w:r w:rsidRPr="004925E8">
        <w:rPr>
          <w:rFonts w:ascii="Arial" w:hAnsi="Arial" w:cs="Arial"/>
          <w:sz w:val="20"/>
          <w:szCs w:val="20"/>
        </w:rPr>
        <w:t>t</w:t>
      </w:r>
      <w:proofErr w:type="gramEnd"/>
      <w:r w:rsidRPr="004925E8">
        <w:rPr>
          <w:rFonts w:ascii="Arial" w:hAnsi="Arial" w:cs="Arial"/>
          <w:sz w:val="20"/>
          <w:szCs w:val="20"/>
        </w:rPr>
        <w:t xml:space="preserve"> 31 March 2024, contingent consideration of £16.3m in respect of the disposal group</w:t>
      </w:r>
      <w:r>
        <w:rPr>
          <w:rFonts w:ascii="Arial" w:hAnsi="Arial" w:cs="Arial"/>
          <w:sz w:val="20"/>
          <w:szCs w:val="20"/>
        </w:rPr>
        <w:t xml:space="preserve">, </w:t>
      </w:r>
      <w:r w:rsidRPr="004925E8">
        <w:rPr>
          <w:rFonts w:ascii="Arial" w:hAnsi="Arial" w:cs="Arial"/>
          <w:sz w:val="20"/>
          <w:szCs w:val="20"/>
        </w:rPr>
        <w:t>had been classified as discontinued operations and shown within liabilities held for sale</w:t>
      </w:r>
      <w:r>
        <w:rPr>
          <w:rFonts w:ascii="Arial" w:hAnsi="Arial" w:cs="Arial"/>
          <w:sz w:val="20"/>
          <w:szCs w:val="20"/>
        </w:rPr>
        <w:t xml:space="preserve">. The continuing operations have contingent consideration of £3.5 million as </w:t>
      </w:r>
      <w:proofErr w:type="gramStart"/>
      <w:r>
        <w:rPr>
          <w:rFonts w:ascii="Arial" w:hAnsi="Arial" w:cs="Arial"/>
          <w:sz w:val="20"/>
          <w:szCs w:val="20"/>
        </w:rPr>
        <w:t>at</w:t>
      </w:r>
      <w:proofErr w:type="gramEnd"/>
      <w:r>
        <w:rPr>
          <w:rFonts w:ascii="Arial" w:hAnsi="Arial" w:cs="Arial"/>
          <w:sz w:val="20"/>
          <w:szCs w:val="20"/>
        </w:rPr>
        <w:t xml:space="preserve"> 31 March 2024. </w:t>
      </w:r>
    </w:p>
    <w:p w14:paraId="7781744E" w14:textId="4012865C" w:rsidR="00B45633" w:rsidRPr="000B13F3" w:rsidRDefault="00B45633" w:rsidP="00B45633">
      <w:pPr>
        <w:jc w:val="both"/>
        <w:rPr>
          <w:rFonts w:ascii="Arial" w:hAnsi="Arial" w:cs="Arial"/>
          <w:sz w:val="20"/>
          <w:szCs w:val="20"/>
        </w:rPr>
      </w:pPr>
      <w:r w:rsidRPr="000B13F3">
        <w:rPr>
          <w:rFonts w:ascii="Arial" w:hAnsi="Arial" w:cs="Arial"/>
          <w:b/>
          <w:bCs/>
          <w:sz w:val="20"/>
          <w:szCs w:val="20"/>
        </w:rPr>
        <w:t>Cash flow</w:t>
      </w:r>
      <w:r w:rsidR="000923E7">
        <w:rPr>
          <w:rFonts w:ascii="Arial" w:hAnsi="Arial" w:cs="Arial"/>
          <w:sz w:val="20"/>
          <w:szCs w:val="20"/>
        </w:rPr>
        <w:t xml:space="preserve">, </w:t>
      </w:r>
      <w:r w:rsidR="000923E7" w:rsidRPr="00863469">
        <w:rPr>
          <w:rFonts w:ascii="Arial" w:hAnsi="Arial" w:cs="Arial"/>
          <w:b/>
          <w:bCs/>
          <w:sz w:val="20"/>
          <w:szCs w:val="20"/>
        </w:rPr>
        <w:t>net</w:t>
      </w:r>
      <w:r w:rsidR="000923E7">
        <w:rPr>
          <w:rFonts w:ascii="Arial" w:hAnsi="Arial" w:cs="Arial"/>
          <w:sz w:val="20"/>
          <w:szCs w:val="20"/>
        </w:rPr>
        <w:t xml:space="preserve"> </w:t>
      </w:r>
      <w:r w:rsidR="000923E7" w:rsidRPr="00863469">
        <w:rPr>
          <w:rFonts w:ascii="Arial" w:hAnsi="Arial" w:cs="Arial"/>
          <w:b/>
          <w:bCs/>
          <w:sz w:val="20"/>
          <w:szCs w:val="20"/>
        </w:rPr>
        <w:t>debt and financing</w:t>
      </w:r>
      <w:r w:rsidR="000923E7">
        <w:rPr>
          <w:rFonts w:ascii="Arial" w:hAnsi="Arial" w:cs="Arial"/>
          <w:sz w:val="20"/>
          <w:szCs w:val="20"/>
        </w:rPr>
        <w:t xml:space="preserve"> </w:t>
      </w:r>
    </w:p>
    <w:p w14:paraId="47C2786D" w14:textId="65E214AB" w:rsidR="002959ED" w:rsidRPr="000B13F3" w:rsidRDefault="002959ED" w:rsidP="002959ED">
      <w:pPr>
        <w:jc w:val="both"/>
        <w:rPr>
          <w:rFonts w:ascii="Arial" w:hAnsi="Arial" w:cs="Arial"/>
          <w:sz w:val="20"/>
          <w:szCs w:val="20"/>
        </w:rPr>
      </w:pPr>
      <w:r w:rsidRPr="000B13F3">
        <w:rPr>
          <w:rFonts w:ascii="Arial" w:hAnsi="Arial" w:cs="Arial"/>
          <w:sz w:val="20"/>
          <w:szCs w:val="20"/>
        </w:rPr>
        <w:t xml:space="preserve">The Group benefits from revenues which have beneficial underlying working capital characteristics. As a result, working capital as a </w:t>
      </w:r>
      <w:r w:rsidR="000352CF">
        <w:rPr>
          <w:rFonts w:ascii="Arial" w:hAnsi="Arial" w:cs="Arial"/>
          <w:sz w:val="20"/>
          <w:szCs w:val="20"/>
        </w:rPr>
        <w:t>percentage</w:t>
      </w:r>
      <w:r w:rsidRPr="000B13F3">
        <w:rPr>
          <w:rFonts w:ascii="Arial" w:hAnsi="Arial" w:cs="Arial"/>
          <w:sz w:val="20"/>
          <w:szCs w:val="20"/>
        </w:rPr>
        <w:t xml:space="preserve"> of </w:t>
      </w:r>
      <w:r w:rsidR="00352940">
        <w:rPr>
          <w:rFonts w:ascii="Arial" w:hAnsi="Arial" w:cs="Arial"/>
          <w:sz w:val="20"/>
          <w:szCs w:val="20"/>
        </w:rPr>
        <w:t>FY24</w:t>
      </w:r>
      <w:r w:rsidR="0072011B" w:rsidRPr="000B13F3">
        <w:rPr>
          <w:rFonts w:ascii="Arial" w:hAnsi="Arial" w:cs="Arial"/>
          <w:sz w:val="20"/>
          <w:szCs w:val="20"/>
        </w:rPr>
        <w:t xml:space="preserve"> </w:t>
      </w:r>
      <w:r w:rsidRPr="000B13F3">
        <w:rPr>
          <w:rFonts w:ascii="Arial" w:hAnsi="Arial" w:cs="Arial"/>
          <w:sz w:val="20"/>
          <w:szCs w:val="20"/>
        </w:rPr>
        <w:t xml:space="preserve">revenue at the full year was </w:t>
      </w:r>
      <w:r w:rsidR="00A511ED">
        <w:rPr>
          <w:rFonts w:ascii="Arial" w:hAnsi="Arial" w:cs="Arial"/>
          <w:sz w:val="20"/>
          <w:szCs w:val="20"/>
        </w:rPr>
        <w:t>less than 1</w:t>
      </w:r>
      <w:r w:rsidRPr="000B13F3">
        <w:rPr>
          <w:rFonts w:ascii="Arial" w:hAnsi="Arial" w:cs="Arial"/>
          <w:sz w:val="20"/>
          <w:szCs w:val="20"/>
        </w:rPr>
        <w:t xml:space="preserve">%. </w:t>
      </w:r>
    </w:p>
    <w:p w14:paraId="058BDF64" w14:textId="03C8BCA0" w:rsidR="00556399" w:rsidRDefault="00201373" w:rsidP="00185519">
      <w:pPr>
        <w:jc w:val="both"/>
        <w:rPr>
          <w:rFonts w:ascii="Arial" w:hAnsi="Arial" w:cs="Arial"/>
          <w:sz w:val="20"/>
          <w:szCs w:val="20"/>
        </w:rPr>
      </w:pPr>
      <w:r w:rsidRPr="000B13F3">
        <w:rPr>
          <w:rFonts w:ascii="Arial" w:hAnsi="Arial" w:cs="Arial"/>
          <w:sz w:val="20"/>
          <w:szCs w:val="20"/>
        </w:rPr>
        <w:t xml:space="preserve">Across the whole year </w:t>
      </w:r>
      <w:r w:rsidR="002F3AC4">
        <w:rPr>
          <w:rFonts w:ascii="Arial" w:hAnsi="Arial" w:cs="Arial"/>
          <w:sz w:val="20"/>
          <w:szCs w:val="20"/>
        </w:rPr>
        <w:t xml:space="preserve">the Group </w:t>
      </w:r>
      <w:r w:rsidRPr="000B13F3">
        <w:rPr>
          <w:rFonts w:ascii="Arial" w:hAnsi="Arial" w:cs="Arial"/>
          <w:sz w:val="20"/>
          <w:szCs w:val="20"/>
        </w:rPr>
        <w:t xml:space="preserve">generated </w:t>
      </w:r>
      <w:r w:rsidR="0081287D">
        <w:rPr>
          <w:rFonts w:ascii="Arial" w:hAnsi="Arial" w:cs="Arial"/>
          <w:sz w:val="20"/>
          <w:szCs w:val="20"/>
        </w:rPr>
        <w:t xml:space="preserve">adjusted </w:t>
      </w:r>
      <w:r w:rsidR="000D4202">
        <w:rPr>
          <w:rFonts w:ascii="Arial" w:hAnsi="Arial" w:cs="Arial"/>
          <w:sz w:val="20"/>
          <w:szCs w:val="20"/>
        </w:rPr>
        <w:t xml:space="preserve">net cash </w:t>
      </w:r>
      <w:r w:rsidRPr="000B13F3">
        <w:rPr>
          <w:rFonts w:ascii="Arial" w:hAnsi="Arial" w:cs="Arial"/>
          <w:sz w:val="20"/>
          <w:szCs w:val="20"/>
        </w:rPr>
        <w:t xml:space="preserve">from </w:t>
      </w:r>
      <w:r w:rsidR="000E5830">
        <w:rPr>
          <w:rFonts w:ascii="Arial" w:hAnsi="Arial" w:cs="Arial"/>
          <w:sz w:val="20"/>
          <w:szCs w:val="20"/>
        </w:rPr>
        <w:t>operations of</w:t>
      </w:r>
      <w:r w:rsidR="002F3AC4">
        <w:rPr>
          <w:rFonts w:ascii="Arial" w:hAnsi="Arial" w:cs="Arial"/>
          <w:sz w:val="20"/>
          <w:szCs w:val="20"/>
        </w:rPr>
        <w:t xml:space="preserve"> </w:t>
      </w:r>
      <w:r w:rsidRPr="000B13F3">
        <w:rPr>
          <w:rFonts w:ascii="Arial" w:hAnsi="Arial" w:cs="Arial"/>
          <w:sz w:val="20"/>
          <w:szCs w:val="20"/>
        </w:rPr>
        <w:t>£</w:t>
      </w:r>
      <w:r w:rsidR="000D4202">
        <w:rPr>
          <w:rFonts w:ascii="Arial" w:hAnsi="Arial" w:cs="Arial"/>
          <w:sz w:val="20"/>
          <w:szCs w:val="20"/>
        </w:rPr>
        <w:t>83.8</w:t>
      </w:r>
      <w:r w:rsidR="002F3AC4">
        <w:rPr>
          <w:rFonts w:ascii="Arial" w:hAnsi="Arial" w:cs="Arial"/>
          <w:sz w:val="20"/>
          <w:szCs w:val="20"/>
        </w:rPr>
        <w:t xml:space="preserve"> </w:t>
      </w:r>
      <w:r w:rsidRPr="000B13F3">
        <w:rPr>
          <w:rFonts w:ascii="Arial" w:hAnsi="Arial" w:cs="Arial"/>
          <w:sz w:val="20"/>
          <w:szCs w:val="20"/>
        </w:rPr>
        <w:t>million</w:t>
      </w:r>
      <w:r w:rsidR="00352940">
        <w:rPr>
          <w:rFonts w:ascii="Arial" w:hAnsi="Arial" w:cs="Arial"/>
          <w:sz w:val="20"/>
          <w:szCs w:val="20"/>
        </w:rPr>
        <w:t xml:space="preserve"> </w:t>
      </w:r>
      <w:r w:rsidR="00556399">
        <w:rPr>
          <w:rFonts w:ascii="Arial" w:hAnsi="Arial" w:cs="Arial"/>
          <w:sz w:val="20"/>
          <w:szCs w:val="20"/>
        </w:rPr>
        <w:t>(FY23: £</w:t>
      </w:r>
      <w:r w:rsidR="00C6193D">
        <w:rPr>
          <w:rFonts w:ascii="Arial" w:hAnsi="Arial" w:cs="Arial"/>
          <w:sz w:val="20"/>
          <w:szCs w:val="20"/>
        </w:rPr>
        <w:t>74.3</w:t>
      </w:r>
      <w:r w:rsidR="00556399">
        <w:rPr>
          <w:rFonts w:ascii="Arial" w:hAnsi="Arial" w:cs="Arial"/>
          <w:sz w:val="20"/>
          <w:szCs w:val="20"/>
        </w:rPr>
        <w:t xml:space="preserve"> million) </w:t>
      </w:r>
      <w:r w:rsidR="000D4202">
        <w:rPr>
          <w:rFonts w:ascii="Arial" w:hAnsi="Arial" w:cs="Arial"/>
          <w:sz w:val="20"/>
          <w:szCs w:val="20"/>
        </w:rPr>
        <w:t xml:space="preserve">before </w:t>
      </w:r>
      <w:r w:rsidR="002F3AC4">
        <w:rPr>
          <w:rFonts w:ascii="Arial" w:hAnsi="Arial" w:cs="Arial"/>
          <w:sz w:val="20"/>
          <w:szCs w:val="20"/>
        </w:rPr>
        <w:t xml:space="preserve">£26.0 million </w:t>
      </w:r>
      <w:r w:rsidR="00556399">
        <w:rPr>
          <w:rFonts w:ascii="Arial" w:hAnsi="Arial" w:cs="Arial"/>
          <w:sz w:val="20"/>
          <w:szCs w:val="20"/>
        </w:rPr>
        <w:t>of acquisition</w:t>
      </w:r>
      <w:r w:rsidR="002F3AC4">
        <w:rPr>
          <w:rFonts w:ascii="Arial" w:hAnsi="Arial" w:cs="Arial"/>
          <w:sz w:val="20"/>
          <w:szCs w:val="20"/>
        </w:rPr>
        <w:t xml:space="preserve"> &amp; </w:t>
      </w:r>
      <w:r w:rsidR="00556399">
        <w:rPr>
          <w:rFonts w:ascii="Arial" w:hAnsi="Arial" w:cs="Arial"/>
          <w:sz w:val="20"/>
          <w:szCs w:val="20"/>
        </w:rPr>
        <w:t>restructuring investment (including strategic review costs)</w:t>
      </w:r>
      <w:r w:rsidR="00A91535">
        <w:rPr>
          <w:rFonts w:ascii="Arial" w:hAnsi="Arial" w:cs="Arial"/>
          <w:sz w:val="20"/>
          <w:szCs w:val="20"/>
        </w:rPr>
        <w:t xml:space="preserve">. </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474"/>
        <w:gridCol w:w="57"/>
        <w:gridCol w:w="1474"/>
        <w:gridCol w:w="1531"/>
      </w:tblGrid>
      <w:tr w:rsidR="00230EBF" w:rsidRPr="000B13F3" w14:paraId="305FF7F5" w14:textId="77777777" w:rsidTr="00334948">
        <w:trPr>
          <w:gridAfter w:val="2"/>
          <w:wAfter w:w="3005" w:type="dxa"/>
          <w:trHeight w:val="227"/>
        </w:trPr>
        <w:tc>
          <w:tcPr>
            <w:tcW w:w="5102" w:type="dxa"/>
          </w:tcPr>
          <w:p w14:paraId="4D6A3105" w14:textId="77777777" w:rsidR="00230EBF" w:rsidRPr="000B13F3" w:rsidRDefault="00230EBF" w:rsidP="00334948">
            <w:pPr>
              <w:jc w:val="both"/>
              <w:rPr>
                <w:rFonts w:ascii="Arial" w:hAnsi="Arial" w:cs="Arial"/>
                <w:sz w:val="20"/>
                <w:szCs w:val="20"/>
              </w:rPr>
            </w:pPr>
          </w:p>
        </w:tc>
        <w:tc>
          <w:tcPr>
            <w:tcW w:w="1531" w:type="dxa"/>
            <w:gridSpan w:val="2"/>
          </w:tcPr>
          <w:p w14:paraId="7DE76022" w14:textId="77777777" w:rsidR="00230EBF" w:rsidRPr="000B13F3" w:rsidRDefault="00230EBF" w:rsidP="00334948">
            <w:pPr>
              <w:jc w:val="both"/>
              <w:rPr>
                <w:rFonts w:ascii="Arial" w:hAnsi="Arial" w:cs="Arial"/>
                <w:sz w:val="20"/>
                <w:szCs w:val="20"/>
              </w:rPr>
            </w:pPr>
          </w:p>
        </w:tc>
      </w:tr>
      <w:tr w:rsidR="00230EBF" w:rsidRPr="000B13F3" w14:paraId="0D8AFA15" w14:textId="77777777" w:rsidTr="00334948">
        <w:trPr>
          <w:trHeight w:val="340"/>
        </w:trPr>
        <w:tc>
          <w:tcPr>
            <w:tcW w:w="6576" w:type="dxa"/>
            <w:gridSpan w:val="2"/>
            <w:tcBorders>
              <w:bottom w:val="single" w:sz="4" w:space="0" w:color="auto"/>
            </w:tcBorders>
            <w:vAlign w:val="bottom"/>
          </w:tcPr>
          <w:p w14:paraId="6CB8325D" w14:textId="6B53CB51" w:rsidR="00230EBF" w:rsidRPr="000B13F3" w:rsidRDefault="00230EBF" w:rsidP="00334948">
            <w:pPr>
              <w:rPr>
                <w:rFonts w:ascii="Arial" w:hAnsi="Arial" w:cs="Arial"/>
                <w:b/>
                <w:bCs/>
                <w:i/>
                <w:iCs/>
                <w:sz w:val="20"/>
                <w:szCs w:val="20"/>
              </w:rPr>
            </w:pPr>
          </w:p>
        </w:tc>
        <w:tc>
          <w:tcPr>
            <w:tcW w:w="1531" w:type="dxa"/>
            <w:gridSpan w:val="2"/>
            <w:tcBorders>
              <w:bottom w:val="single" w:sz="4" w:space="0" w:color="auto"/>
            </w:tcBorders>
            <w:vAlign w:val="center"/>
          </w:tcPr>
          <w:p w14:paraId="71711B1C" w14:textId="77777777" w:rsidR="00230EBF" w:rsidRPr="000B13F3" w:rsidRDefault="00230EBF" w:rsidP="00334948">
            <w:pPr>
              <w:jc w:val="right"/>
              <w:rPr>
                <w:rFonts w:ascii="Arial" w:hAnsi="Arial" w:cs="Arial"/>
                <w:b/>
                <w:bCs/>
                <w:sz w:val="20"/>
                <w:szCs w:val="20"/>
              </w:rPr>
            </w:pPr>
            <w:r w:rsidRPr="000B13F3">
              <w:rPr>
                <w:rFonts w:ascii="Arial" w:hAnsi="Arial" w:cs="Arial"/>
                <w:b/>
                <w:bCs/>
                <w:sz w:val="20"/>
                <w:szCs w:val="20"/>
              </w:rPr>
              <w:t>FY2</w:t>
            </w:r>
            <w:r>
              <w:rPr>
                <w:rFonts w:ascii="Arial" w:hAnsi="Arial" w:cs="Arial"/>
                <w:b/>
                <w:bCs/>
                <w:sz w:val="20"/>
                <w:szCs w:val="20"/>
              </w:rPr>
              <w:t>4</w:t>
            </w:r>
          </w:p>
          <w:p w14:paraId="1B29EECB" w14:textId="77777777" w:rsidR="00230EBF" w:rsidRPr="000B13F3" w:rsidRDefault="00230EBF" w:rsidP="00334948">
            <w:pPr>
              <w:jc w:val="right"/>
              <w:rPr>
                <w:rFonts w:ascii="Arial" w:hAnsi="Arial" w:cs="Arial"/>
                <w:b/>
                <w:bCs/>
                <w:sz w:val="20"/>
                <w:szCs w:val="20"/>
              </w:rPr>
            </w:pPr>
            <w:r w:rsidRPr="000B13F3">
              <w:rPr>
                <w:rFonts w:ascii="Arial" w:hAnsi="Arial" w:cs="Arial"/>
                <w:b/>
                <w:bCs/>
                <w:sz w:val="20"/>
                <w:szCs w:val="20"/>
              </w:rPr>
              <w:t>£m</w:t>
            </w:r>
          </w:p>
        </w:tc>
        <w:tc>
          <w:tcPr>
            <w:tcW w:w="1531" w:type="dxa"/>
            <w:tcBorders>
              <w:bottom w:val="single" w:sz="4" w:space="0" w:color="auto"/>
            </w:tcBorders>
            <w:vAlign w:val="center"/>
          </w:tcPr>
          <w:p w14:paraId="32BAB1B2" w14:textId="77777777" w:rsidR="00230EBF" w:rsidRPr="000B13F3" w:rsidRDefault="00230EBF" w:rsidP="00334948">
            <w:pPr>
              <w:jc w:val="right"/>
              <w:rPr>
                <w:rFonts w:ascii="Arial" w:hAnsi="Arial" w:cs="Arial"/>
                <w:b/>
                <w:bCs/>
                <w:sz w:val="20"/>
                <w:szCs w:val="20"/>
              </w:rPr>
            </w:pPr>
            <w:r w:rsidRPr="000B13F3">
              <w:rPr>
                <w:rFonts w:ascii="Arial" w:hAnsi="Arial" w:cs="Arial"/>
                <w:b/>
                <w:bCs/>
                <w:sz w:val="20"/>
                <w:szCs w:val="20"/>
              </w:rPr>
              <w:t>FY2</w:t>
            </w:r>
            <w:r>
              <w:rPr>
                <w:rFonts w:ascii="Arial" w:hAnsi="Arial" w:cs="Arial"/>
                <w:b/>
                <w:bCs/>
                <w:sz w:val="20"/>
                <w:szCs w:val="20"/>
              </w:rPr>
              <w:t>3</w:t>
            </w:r>
          </w:p>
          <w:p w14:paraId="3F3FCC3C" w14:textId="77777777" w:rsidR="00230EBF" w:rsidRPr="000B13F3" w:rsidRDefault="00230EBF" w:rsidP="00334948">
            <w:pPr>
              <w:jc w:val="right"/>
              <w:rPr>
                <w:rFonts w:ascii="Arial" w:hAnsi="Arial" w:cs="Arial"/>
                <w:b/>
                <w:bCs/>
                <w:sz w:val="20"/>
                <w:szCs w:val="20"/>
              </w:rPr>
            </w:pPr>
            <w:r w:rsidRPr="000B13F3">
              <w:rPr>
                <w:rFonts w:ascii="Arial" w:hAnsi="Arial" w:cs="Arial"/>
                <w:b/>
                <w:bCs/>
                <w:sz w:val="20"/>
                <w:szCs w:val="20"/>
              </w:rPr>
              <w:t>£m</w:t>
            </w:r>
          </w:p>
        </w:tc>
      </w:tr>
      <w:tr w:rsidR="00230EBF" w:rsidRPr="000B13F3" w14:paraId="5EB42581" w14:textId="77777777" w:rsidTr="00334948">
        <w:trPr>
          <w:trHeight w:val="340"/>
        </w:trPr>
        <w:tc>
          <w:tcPr>
            <w:tcW w:w="6576" w:type="dxa"/>
            <w:gridSpan w:val="2"/>
            <w:vAlign w:val="center"/>
          </w:tcPr>
          <w:p w14:paraId="27A8BAC4" w14:textId="7DBEB8C2" w:rsidR="00230EBF" w:rsidRPr="000B13F3" w:rsidRDefault="00FF7027" w:rsidP="00334948">
            <w:pPr>
              <w:rPr>
                <w:rFonts w:ascii="Arial" w:hAnsi="Arial" w:cs="Arial"/>
                <w:b/>
                <w:bCs/>
                <w:sz w:val="20"/>
                <w:szCs w:val="20"/>
              </w:rPr>
            </w:pPr>
            <w:bookmarkStart w:id="10" w:name="_Hlk172545573"/>
            <w:bookmarkStart w:id="11" w:name="_Hlk172545509"/>
            <w:r>
              <w:rPr>
                <w:rFonts w:ascii="Arial" w:hAnsi="Arial" w:cs="Arial"/>
                <w:b/>
                <w:bCs/>
                <w:sz w:val="20"/>
                <w:szCs w:val="20"/>
              </w:rPr>
              <w:t>Adjusted c</w:t>
            </w:r>
            <w:r w:rsidR="00230EBF">
              <w:rPr>
                <w:rFonts w:ascii="Arial" w:hAnsi="Arial" w:cs="Arial"/>
                <w:b/>
                <w:bCs/>
                <w:sz w:val="20"/>
                <w:szCs w:val="20"/>
              </w:rPr>
              <w:t xml:space="preserve">ash generated from </w:t>
            </w:r>
            <w:r w:rsidR="000E5830">
              <w:rPr>
                <w:rFonts w:ascii="Arial" w:hAnsi="Arial" w:cs="Arial"/>
                <w:b/>
                <w:bCs/>
                <w:sz w:val="20"/>
                <w:szCs w:val="20"/>
              </w:rPr>
              <w:t>operations</w:t>
            </w:r>
            <w:r w:rsidR="00D06C59">
              <w:rPr>
                <w:rFonts w:ascii="Arial" w:hAnsi="Arial" w:cs="Arial"/>
                <w:b/>
                <w:bCs/>
                <w:sz w:val="20"/>
                <w:szCs w:val="20"/>
              </w:rPr>
              <w:t xml:space="preserve"> </w:t>
            </w:r>
            <w:r w:rsidR="00230EBF">
              <w:rPr>
                <w:rFonts w:ascii="Arial" w:hAnsi="Arial" w:cs="Arial"/>
                <w:b/>
                <w:bCs/>
                <w:sz w:val="20"/>
                <w:szCs w:val="20"/>
              </w:rPr>
              <w:t xml:space="preserve">before acquisition and restructuring </w:t>
            </w:r>
            <w:r w:rsidR="00E951BA">
              <w:rPr>
                <w:rFonts w:ascii="Arial" w:hAnsi="Arial" w:cs="Arial"/>
                <w:b/>
                <w:bCs/>
                <w:sz w:val="20"/>
                <w:szCs w:val="20"/>
              </w:rPr>
              <w:t xml:space="preserve">costs </w:t>
            </w:r>
            <w:r w:rsidR="00230EBF">
              <w:rPr>
                <w:rFonts w:ascii="Arial" w:hAnsi="Arial" w:cs="Arial"/>
                <w:b/>
                <w:bCs/>
                <w:sz w:val="20"/>
                <w:szCs w:val="20"/>
              </w:rPr>
              <w:t>(inc. strategic review)</w:t>
            </w:r>
            <w:bookmarkEnd w:id="10"/>
          </w:p>
        </w:tc>
        <w:tc>
          <w:tcPr>
            <w:tcW w:w="1531" w:type="dxa"/>
            <w:gridSpan w:val="2"/>
            <w:vAlign w:val="center"/>
          </w:tcPr>
          <w:p w14:paraId="0F11C174" w14:textId="23AE400A" w:rsidR="00230EBF" w:rsidRPr="000B13F3" w:rsidRDefault="00230EBF" w:rsidP="00334948">
            <w:pPr>
              <w:jc w:val="right"/>
              <w:rPr>
                <w:rFonts w:ascii="Arial" w:hAnsi="Arial" w:cs="Arial"/>
                <w:b/>
                <w:bCs/>
                <w:sz w:val="20"/>
                <w:szCs w:val="20"/>
              </w:rPr>
            </w:pPr>
            <w:r>
              <w:rPr>
                <w:rFonts w:ascii="Arial" w:hAnsi="Arial" w:cs="Arial"/>
                <w:b/>
                <w:bCs/>
                <w:sz w:val="20"/>
                <w:szCs w:val="20"/>
              </w:rPr>
              <w:t>83.8</w:t>
            </w:r>
          </w:p>
        </w:tc>
        <w:tc>
          <w:tcPr>
            <w:tcW w:w="1531" w:type="dxa"/>
            <w:vAlign w:val="center"/>
          </w:tcPr>
          <w:p w14:paraId="37374739" w14:textId="72C7667F" w:rsidR="00230EBF" w:rsidRPr="000B13F3" w:rsidRDefault="00230EBF" w:rsidP="00334948">
            <w:pPr>
              <w:jc w:val="right"/>
              <w:rPr>
                <w:rFonts w:ascii="Arial" w:hAnsi="Arial" w:cs="Arial"/>
                <w:b/>
                <w:bCs/>
                <w:sz w:val="20"/>
                <w:szCs w:val="20"/>
              </w:rPr>
            </w:pPr>
            <w:r>
              <w:rPr>
                <w:rFonts w:ascii="Arial" w:hAnsi="Arial" w:cs="Arial"/>
                <w:b/>
                <w:bCs/>
                <w:sz w:val="20"/>
                <w:szCs w:val="20"/>
              </w:rPr>
              <w:t>74.3</w:t>
            </w:r>
          </w:p>
        </w:tc>
      </w:tr>
      <w:tr w:rsidR="00230EBF" w:rsidRPr="000B13F3" w14:paraId="715F147F" w14:textId="77777777" w:rsidTr="00863469">
        <w:trPr>
          <w:trHeight w:val="340"/>
        </w:trPr>
        <w:tc>
          <w:tcPr>
            <w:tcW w:w="6576" w:type="dxa"/>
            <w:gridSpan w:val="2"/>
            <w:tcBorders>
              <w:bottom w:val="single" w:sz="4" w:space="0" w:color="auto"/>
            </w:tcBorders>
            <w:vAlign w:val="center"/>
          </w:tcPr>
          <w:p w14:paraId="13866E4D" w14:textId="18C2E1EA" w:rsidR="00230EBF" w:rsidRPr="00863469" w:rsidRDefault="00230EBF" w:rsidP="00334948">
            <w:pPr>
              <w:rPr>
                <w:rFonts w:ascii="Arial" w:hAnsi="Arial" w:cs="Arial"/>
                <w:sz w:val="20"/>
                <w:szCs w:val="20"/>
              </w:rPr>
            </w:pPr>
            <w:r>
              <w:rPr>
                <w:rFonts w:ascii="Arial" w:hAnsi="Arial" w:cs="Arial"/>
                <w:sz w:val="20"/>
                <w:szCs w:val="20"/>
              </w:rPr>
              <w:t xml:space="preserve">Acquisition &amp; </w:t>
            </w:r>
            <w:r w:rsidR="000923E7">
              <w:rPr>
                <w:rFonts w:ascii="Arial" w:hAnsi="Arial" w:cs="Arial"/>
                <w:sz w:val="20"/>
                <w:szCs w:val="20"/>
              </w:rPr>
              <w:t>r</w:t>
            </w:r>
            <w:r>
              <w:rPr>
                <w:rFonts w:ascii="Arial" w:hAnsi="Arial" w:cs="Arial"/>
                <w:sz w:val="20"/>
                <w:szCs w:val="20"/>
              </w:rPr>
              <w:t xml:space="preserve">estructuring </w:t>
            </w:r>
            <w:r w:rsidR="003201F2">
              <w:rPr>
                <w:rFonts w:ascii="Arial" w:hAnsi="Arial" w:cs="Arial"/>
                <w:sz w:val="20"/>
                <w:szCs w:val="20"/>
              </w:rPr>
              <w:t xml:space="preserve">costs </w:t>
            </w:r>
            <w:r>
              <w:rPr>
                <w:rFonts w:ascii="Arial" w:hAnsi="Arial" w:cs="Arial"/>
                <w:sz w:val="20"/>
                <w:szCs w:val="20"/>
              </w:rPr>
              <w:t>(in</w:t>
            </w:r>
            <w:r w:rsidR="000923E7">
              <w:rPr>
                <w:rFonts w:ascii="Arial" w:hAnsi="Arial" w:cs="Arial"/>
                <w:sz w:val="20"/>
                <w:szCs w:val="20"/>
              </w:rPr>
              <w:t>c</w:t>
            </w:r>
            <w:r>
              <w:rPr>
                <w:rFonts w:ascii="Arial" w:hAnsi="Arial" w:cs="Arial"/>
                <w:sz w:val="20"/>
                <w:szCs w:val="20"/>
              </w:rPr>
              <w:t xml:space="preserve">. strategic review) </w:t>
            </w:r>
          </w:p>
        </w:tc>
        <w:tc>
          <w:tcPr>
            <w:tcW w:w="1531" w:type="dxa"/>
            <w:gridSpan w:val="2"/>
            <w:tcBorders>
              <w:bottom w:val="single" w:sz="4" w:space="0" w:color="auto"/>
            </w:tcBorders>
            <w:vAlign w:val="center"/>
          </w:tcPr>
          <w:p w14:paraId="27423805" w14:textId="09703BFA" w:rsidR="00230EBF" w:rsidRPr="00863469" w:rsidRDefault="00230EBF" w:rsidP="00334948">
            <w:pPr>
              <w:jc w:val="right"/>
              <w:rPr>
                <w:rFonts w:ascii="Arial" w:hAnsi="Arial" w:cs="Arial"/>
                <w:sz w:val="20"/>
                <w:szCs w:val="20"/>
              </w:rPr>
            </w:pPr>
            <w:r>
              <w:rPr>
                <w:rFonts w:ascii="Arial" w:hAnsi="Arial" w:cs="Arial"/>
                <w:sz w:val="20"/>
                <w:szCs w:val="20"/>
              </w:rPr>
              <w:t>(</w:t>
            </w:r>
            <w:r w:rsidRPr="00863469">
              <w:rPr>
                <w:rFonts w:ascii="Arial" w:hAnsi="Arial" w:cs="Arial"/>
                <w:sz w:val="20"/>
                <w:szCs w:val="20"/>
              </w:rPr>
              <w:t>26.0</w:t>
            </w:r>
            <w:r>
              <w:rPr>
                <w:rFonts w:ascii="Arial" w:hAnsi="Arial" w:cs="Arial"/>
                <w:sz w:val="20"/>
                <w:szCs w:val="20"/>
              </w:rPr>
              <w:t>)</w:t>
            </w:r>
          </w:p>
        </w:tc>
        <w:tc>
          <w:tcPr>
            <w:tcW w:w="1531" w:type="dxa"/>
            <w:tcBorders>
              <w:bottom w:val="single" w:sz="4" w:space="0" w:color="auto"/>
            </w:tcBorders>
            <w:vAlign w:val="center"/>
          </w:tcPr>
          <w:p w14:paraId="326BEC90" w14:textId="07EC03E2" w:rsidR="00230EBF" w:rsidRPr="00863469" w:rsidRDefault="00230EBF" w:rsidP="00334948">
            <w:pPr>
              <w:jc w:val="right"/>
              <w:rPr>
                <w:rFonts w:ascii="Arial" w:hAnsi="Arial" w:cs="Arial"/>
                <w:sz w:val="20"/>
                <w:szCs w:val="20"/>
              </w:rPr>
            </w:pPr>
            <w:r w:rsidRPr="00863469">
              <w:rPr>
                <w:rFonts w:ascii="Arial" w:hAnsi="Arial" w:cs="Arial"/>
                <w:sz w:val="20"/>
                <w:szCs w:val="20"/>
              </w:rPr>
              <w:t>(23.8)</w:t>
            </w:r>
          </w:p>
        </w:tc>
      </w:tr>
      <w:tr w:rsidR="00230EBF" w:rsidRPr="000B13F3" w14:paraId="5732596F" w14:textId="77777777" w:rsidTr="00863469">
        <w:trPr>
          <w:trHeight w:val="340"/>
        </w:trPr>
        <w:tc>
          <w:tcPr>
            <w:tcW w:w="6576" w:type="dxa"/>
            <w:gridSpan w:val="2"/>
            <w:tcBorders>
              <w:top w:val="single" w:sz="4" w:space="0" w:color="auto"/>
            </w:tcBorders>
            <w:vAlign w:val="center"/>
          </w:tcPr>
          <w:p w14:paraId="2BD79D2E" w14:textId="0969ED0F" w:rsidR="00230EBF" w:rsidRPr="000B13F3" w:rsidRDefault="00D06C59" w:rsidP="00334948">
            <w:pPr>
              <w:rPr>
                <w:rFonts w:ascii="Arial" w:hAnsi="Arial" w:cs="Arial"/>
                <w:b/>
                <w:bCs/>
                <w:sz w:val="20"/>
                <w:szCs w:val="20"/>
              </w:rPr>
            </w:pPr>
            <w:r>
              <w:rPr>
                <w:rFonts w:ascii="Arial" w:hAnsi="Arial" w:cs="Arial"/>
                <w:b/>
                <w:bCs/>
                <w:sz w:val="20"/>
                <w:szCs w:val="20"/>
              </w:rPr>
              <w:t>C</w:t>
            </w:r>
            <w:r w:rsidR="00230EBF">
              <w:rPr>
                <w:rFonts w:ascii="Arial" w:hAnsi="Arial" w:cs="Arial"/>
                <w:b/>
                <w:bCs/>
                <w:sz w:val="20"/>
                <w:szCs w:val="20"/>
              </w:rPr>
              <w:t xml:space="preserve">ash generated from </w:t>
            </w:r>
            <w:r w:rsidR="000E5830">
              <w:rPr>
                <w:rFonts w:ascii="Arial" w:hAnsi="Arial" w:cs="Arial"/>
                <w:b/>
                <w:bCs/>
                <w:sz w:val="20"/>
                <w:szCs w:val="20"/>
              </w:rPr>
              <w:t>operations</w:t>
            </w:r>
          </w:p>
        </w:tc>
        <w:tc>
          <w:tcPr>
            <w:tcW w:w="1531" w:type="dxa"/>
            <w:gridSpan w:val="2"/>
            <w:tcBorders>
              <w:top w:val="single" w:sz="4" w:space="0" w:color="auto"/>
            </w:tcBorders>
            <w:vAlign w:val="center"/>
          </w:tcPr>
          <w:p w14:paraId="09B5BCB0" w14:textId="792AAF67" w:rsidR="00230EBF" w:rsidRDefault="00230EBF" w:rsidP="00334948">
            <w:pPr>
              <w:jc w:val="right"/>
              <w:rPr>
                <w:rFonts w:ascii="Arial" w:hAnsi="Arial" w:cs="Arial"/>
                <w:b/>
                <w:bCs/>
                <w:sz w:val="20"/>
                <w:szCs w:val="20"/>
              </w:rPr>
            </w:pPr>
            <w:r>
              <w:rPr>
                <w:rFonts w:ascii="Arial" w:hAnsi="Arial" w:cs="Arial"/>
                <w:b/>
                <w:bCs/>
                <w:sz w:val="20"/>
                <w:szCs w:val="20"/>
              </w:rPr>
              <w:t>57.8</w:t>
            </w:r>
          </w:p>
        </w:tc>
        <w:tc>
          <w:tcPr>
            <w:tcW w:w="1531" w:type="dxa"/>
            <w:tcBorders>
              <w:top w:val="single" w:sz="4" w:space="0" w:color="auto"/>
            </w:tcBorders>
            <w:vAlign w:val="center"/>
          </w:tcPr>
          <w:p w14:paraId="1C1470A6" w14:textId="3523AA48" w:rsidR="00230EBF" w:rsidRDefault="00230EBF" w:rsidP="00334948">
            <w:pPr>
              <w:jc w:val="right"/>
              <w:rPr>
                <w:rFonts w:ascii="Arial" w:hAnsi="Arial" w:cs="Arial"/>
                <w:b/>
                <w:bCs/>
                <w:sz w:val="20"/>
                <w:szCs w:val="20"/>
              </w:rPr>
            </w:pPr>
            <w:r>
              <w:rPr>
                <w:rFonts w:ascii="Arial" w:hAnsi="Arial" w:cs="Arial"/>
                <w:b/>
                <w:bCs/>
                <w:sz w:val="20"/>
                <w:szCs w:val="20"/>
              </w:rPr>
              <w:t>50.5</w:t>
            </w:r>
          </w:p>
        </w:tc>
      </w:tr>
      <w:bookmarkEnd w:id="11"/>
      <w:tr w:rsidR="00230EBF" w:rsidRPr="000B13F3" w14:paraId="73766C86" w14:textId="77777777" w:rsidTr="00334948">
        <w:trPr>
          <w:trHeight w:val="340"/>
        </w:trPr>
        <w:tc>
          <w:tcPr>
            <w:tcW w:w="6576" w:type="dxa"/>
            <w:gridSpan w:val="2"/>
            <w:vAlign w:val="center"/>
          </w:tcPr>
          <w:p w14:paraId="768C783F" w14:textId="6A398FB9" w:rsidR="00230EBF" w:rsidRPr="00863469" w:rsidRDefault="00230EBF" w:rsidP="00334948">
            <w:pPr>
              <w:rPr>
                <w:rFonts w:ascii="Arial" w:hAnsi="Arial" w:cs="Arial"/>
                <w:sz w:val="20"/>
                <w:szCs w:val="20"/>
              </w:rPr>
            </w:pPr>
            <w:r>
              <w:rPr>
                <w:rFonts w:ascii="Arial" w:hAnsi="Arial" w:cs="Arial"/>
                <w:sz w:val="20"/>
                <w:szCs w:val="20"/>
              </w:rPr>
              <w:t>Lease repayments</w:t>
            </w:r>
          </w:p>
        </w:tc>
        <w:tc>
          <w:tcPr>
            <w:tcW w:w="1531" w:type="dxa"/>
            <w:gridSpan w:val="2"/>
            <w:vAlign w:val="center"/>
          </w:tcPr>
          <w:p w14:paraId="05EE1023" w14:textId="1847B95A" w:rsidR="00230EBF" w:rsidRPr="00863469" w:rsidRDefault="00230EBF" w:rsidP="00334948">
            <w:pPr>
              <w:jc w:val="right"/>
              <w:rPr>
                <w:rFonts w:ascii="Arial" w:hAnsi="Arial" w:cs="Arial"/>
                <w:sz w:val="20"/>
                <w:szCs w:val="20"/>
              </w:rPr>
            </w:pPr>
            <w:r w:rsidRPr="00863469">
              <w:rPr>
                <w:rFonts w:ascii="Arial" w:hAnsi="Arial" w:cs="Arial"/>
                <w:sz w:val="20"/>
                <w:szCs w:val="20"/>
              </w:rPr>
              <w:t>(11.9)</w:t>
            </w:r>
          </w:p>
        </w:tc>
        <w:tc>
          <w:tcPr>
            <w:tcW w:w="1531" w:type="dxa"/>
            <w:vAlign w:val="center"/>
          </w:tcPr>
          <w:p w14:paraId="18EDBCF3" w14:textId="0EA229C1" w:rsidR="00230EBF" w:rsidRPr="00863469" w:rsidRDefault="00230EBF" w:rsidP="00334948">
            <w:pPr>
              <w:jc w:val="right"/>
              <w:rPr>
                <w:rFonts w:ascii="Arial" w:hAnsi="Arial" w:cs="Arial"/>
                <w:sz w:val="20"/>
                <w:szCs w:val="20"/>
              </w:rPr>
            </w:pPr>
            <w:r w:rsidRPr="00863469">
              <w:rPr>
                <w:rFonts w:ascii="Arial" w:hAnsi="Arial" w:cs="Arial"/>
                <w:sz w:val="20"/>
                <w:szCs w:val="20"/>
              </w:rPr>
              <w:t>(11.1)</w:t>
            </w:r>
          </w:p>
        </w:tc>
      </w:tr>
      <w:tr w:rsidR="00230EBF" w:rsidRPr="000B13F3" w14:paraId="0B914658" w14:textId="77777777" w:rsidTr="00334948">
        <w:trPr>
          <w:trHeight w:val="340"/>
        </w:trPr>
        <w:tc>
          <w:tcPr>
            <w:tcW w:w="6576" w:type="dxa"/>
            <w:gridSpan w:val="2"/>
            <w:vAlign w:val="center"/>
          </w:tcPr>
          <w:p w14:paraId="0DCF6729" w14:textId="5017D1A7" w:rsidR="00230EBF" w:rsidRPr="00863469" w:rsidRDefault="00115363" w:rsidP="00334948">
            <w:pPr>
              <w:rPr>
                <w:rFonts w:ascii="Arial" w:hAnsi="Arial" w:cs="Arial"/>
                <w:sz w:val="20"/>
                <w:szCs w:val="20"/>
              </w:rPr>
            </w:pPr>
            <w:r w:rsidRPr="00863469">
              <w:rPr>
                <w:rFonts w:ascii="Arial" w:hAnsi="Arial" w:cs="Arial"/>
                <w:sz w:val="20"/>
                <w:szCs w:val="20"/>
              </w:rPr>
              <w:t>Ne</w:t>
            </w:r>
            <w:r>
              <w:rPr>
                <w:rFonts w:ascii="Arial" w:hAnsi="Arial" w:cs="Arial"/>
                <w:sz w:val="20"/>
                <w:szCs w:val="20"/>
              </w:rPr>
              <w:t>t finance costs</w:t>
            </w:r>
            <w:r w:rsidRPr="00863469">
              <w:rPr>
                <w:rFonts w:ascii="Arial" w:hAnsi="Arial" w:cs="Arial"/>
                <w:sz w:val="20"/>
                <w:szCs w:val="20"/>
              </w:rPr>
              <w:t xml:space="preserve"> </w:t>
            </w:r>
          </w:p>
        </w:tc>
        <w:tc>
          <w:tcPr>
            <w:tcW w:w="1531" w:type="dxa"/>
            <w:gridSpan w:val="2"/>
            <w:vAlign w:val="center"/>
          </w:tcPr>
          <w:p w14:paraId="68B542C5" w14:textId="35F024F8" w:rsidR="00230EBF" w:rsidRPr="00863469" w:rsidRDefault="00115363" w:rsidP="00334948">
            <w:pPr>
              <w:jc w:val="right"/>
              <w:rPr>
                <w:rFonts w:ascii="Arial" w:hAnsi="Arial" w:cs="Arial"/>
                <w:sz w:val="20"/>
                <w:szCs w:val="20"/>
              </w:rPr>
            </w:pPr>
            <w:r w:rsidRPr="00863469">
              <w:rPr>
                <w:rFonts w:ascii="Arial" w:hAnsi="Arial" w:cs="Arial"/>
                <w:sz w:val="20"/>
                <w:szCs w:val="20"/>
              </w:rPr>
              <w:t>(17.8)</w:t>
            </w:r>
          </w:p>
        </w:tc>
        <w:tc>
          <w:tcPr>
            <w:tcW w:w="1531" w:type="dxa"/>
            <w:vAlign w:val="center"/>
          </w:tcPr>
          <w:p w14:paraId="0CCF6639" w14:textId="637F85ED" w:rsidR="00230EBF" w:rsidRPr="00863469" w:rsidRDefault="00115363" w:rsidP="00334948">
            <w:pPr>
              <w:jc w:val="right"/>
              <w:rPr>
                <w:rFonts w:ascii="Arial" w:hAnsi="Arial" w:cs="Arial"/>
                <w:sz w:val="20"/>
                <w:szCs w:val="20"/>
              </w:rPr>
            </w:pPr>
            <w:r w:rsidRPr="00863469">
              <w:rPr>
                <w:rFonts w:ascii="Arial" w:hAnsi="Arial" w:cs="Arial"/>
                <w:sz w:val="20"/>
                <w:szCs w:val="20"/>
              </w:rPr>
              <w:t>(8.6)</w:t>
            </w:r>
          </w:p>
        </w:tc>
      </w:tr>
      <w:tr w:rsidR="00230EBF" w:rsidRPr="000B13F3" w14:paraId="52A1408E" w14:textId="77777777" w:rsidTr="00334948">
        <w:trPr>
          <w:trHeight w:val="340"/>
        </w:trPr>
        <w:tc>
          <w:tcPr>
            <w:tcW w:w="6576" w:type="dxa"/>
            <w:gridSpan w:val="2"/>
            <w:vAlign w:val="center"/>
          </w:tcPr>
          <w:p w14:paraId="17101A33" w14:textId="441DDC4B" w:rsidR="00230EBF" w:rsidRPr="00863469" w:rsidRDefault="00115363" w:rsidP="00334948">
            <w:pPr>
              <w:rPr>
                <w:rFonts w:ascii="Arial" w:hAnsi="Arial" w:cs="Arial"/>
                <w:sz w:val="20"/>
                <w:szCs w:val="20"/>
              </w:rPr>
            </w:pPr>
            <w:r w:rsidRPr="00863469">
              <w:rPr>
                <w:rFonts w:ascii="Arial" w:hAnsi="Arial" w:cs="Arial"/>
                <w:sz w:val="20"/>
                <w:szCs w:val="20"/>
              </w:rPr>
              <w:t>Tax</w:t>
            </w:r>
          </w:p>
        </w:tc>
        <w:tc>
          <w:tcPr>
            <w:tcW w:w="1531" w:type="dxa"/>
            <w:gridSpan w:val="2"/>
            <w:vAlign w:val="center"/>
          </w:tcPr>
          <w:p w14:paraId="5FC9D3AB" w14:textId="51941AAD" w:rsidR="00230EBF" w:rsidRPr="00863469" w:rsidRDefault="00115363" w:rsidP="00334948">
            <w:pPr>
              <w:jc w:val="right"/>
              <w:rPr>
                <w:rFonts w:ascii="Arial" w:hAnsi="Arial" w:cs="Arial"/>
                <w:sz w:val="20"/>
                <w:szCs w:val="20"/>
              </w:rPr>
            </w:pPr>
            <w:r w:rsidRPr="00863469">
              <w:rPr>
                <w:rFonts w:ascii="Arial" w:hAnsi="Arial" w:cs="Arial"/>
                <w:sz w:val="20"/>
                <w:szCs w:val="20"/>
              </w:rPr>
              <w:t>(2.0)</w:t>
            </w:r>
          </w:p>
        </w:tc>
        <w:tc>
          <w:tcPr>
            <w:tcW w:w="1531" w:type="dxa"/>
            <w:vAlign w:val="center"/>
          </w:tcPr>
          <w:p w14:paraId="5CCA295A" w14:textId="752638F6" w:rsidR="00230EBF" w:rsidRPr="00863469" w:rsidRDefault="00115363" w:rsidP="00334948">
            <w:pPr>
              <w:jc w:val="right"/>
              <w:rPr>
                <w:rFonts w:ascii="Arial" w:hAnsi="Arial" w:cs="Arial"/>
                <w:sz w:val="20"/>
                <w:szCs w:val="20"/>
              </w:rPr>
            </w:pPr>
            <w:r w:rsidRPr="00863469">
              <w:rPr>
                <w:rFonts w:ascii="Arial" w:hAnsi="Arial" w:cs="Arial"/>
                <w:sz w:val="20"/>
                <w:szCs w:val="20"/>
              </w:rPr>
              <w:t>(8.3)</w:t>
            </w:r>
          </w:p>
        </w:tc>
      </w:tr>
      <w:tr w:rsidR="00230EBF" w:rsidRPr="000B13F3" w14:paraId="3777DF75" w14:textId="77777777" w:rsidTr="00334948">
        <w:trPr>
          <w:trHeight w:val="340"/>
        </w:trPr>
        <w:tc>
          <w:tcPr>
            <w:tcW w:w="6576" w:type="dxa"/>
            <w:gridSpan w:val="2"/>
            <w:vAlign w:val="center"/>
          </w:tcPr>
          <w:p w14:paraId="41437B88" w14:textId="14F01AC7" w:rsidR="00230EBF" w:rsidRPr="00863469" w:rsidRDefault="00115363" w:rsidP="00334948">
            <w:pPr>
              <w:rPr>
                <w:rFonts w:ascii="Arial" w:hAnsi="Arial" w:cs="Arial"/>
                <w:sz w:val="20"/>
                <w:szCs w:val="20"/>
              </w:rPr>
            </w:pPr>
            <w:r w:rsidRPr="00863469">
              <w:rPr>
                <w:rFonts w:ascii="Arial" w:hAnsi="Arial" w:cs="Arial"/>
                <w:sz w:val="20"/>
                <w:szCs w:val="20"/>
              </w:rPr>
              <w:t>M&amp;A (inc</w:t>
            </w:r>
            <w:r w:rsidR="007956AB">
              <w:rPr>
                <w:rFonts w:ascii="Arial" w:hAnsi="Arial" w:cs="Arial"/>
                <w:sz w:val="20"/>
                <w:szCs w:val="20"/>
              </w:rPr>
              <w:t>.</w:t>
            </w:r>
            <w:r w:rsidRPr="00863469">
              <w:rPr>
                <w:rFonts w:ascii="Arial" w:hAnsi="Arial" w:cs="Arial"/>
                <w:sz w:val="20"/>
                <w:szCs w:val="20"/>
              </w:rPr>
              <w:t xml:space="preserve"> </w:t>
            </w:r>
            <w:r w:rsidR="00233283">
              <w:rPr>
                <w:rFonts w:ascii="Arial" w:hAnsi="Arial" w:cs="Arial"/>
                <w:sz w:val="20"/>
                <w:szCs w:val="20"/>
              </w:rPr>
              <w:t xml:space="preserve">purchase and repayment of </w:t>
            </w:r>
            <w:r w:rsidR="003201F2">
              <w:rPr>
                <w:rFonts w:ascii="Arial" w:hAnsi="Arial" w:cs="Arial"/>
                <w:sz w:val="20"/>
                <w:szCs w:val="20"/>
              </w:rPr>
              <w:t>subsidiary under</w:t>
            </w:r>
            <w:r w:rsidRPr="00863469">
              <w:rPr>
                <w:rFonts w:ascii="Arial" w:hAnsi="Arial" w:cs="Arial"/>
                <w:sz w:val="20"/>
                <w:szCs w:val="20"/>
              </w:rPr>
              <w:t>t</w:t>
            </w:r>
            <w:r w:rsidR="003201F2">
              <w:rPr>
                <w:rFonts w:ascii="Arial" w:hAnsi="Arial" w:cs="Arial"/>
                <w:sz w:val="20"/>
                <w:szCs w:val="20"/>
              </w:rPr>
              <w:t>akings</w:t>
            </w:r>
            <w:r w:rsidRPr="00863469">
              <w:rPr>
                <w:rFonts w:ascii="Arial" w:hAnsi="Arial" w:cs="Arial"/>
                <w:sz w:val="20"/>
                <w:szCs w:val="20"/>
              </w:rPr>
              <w:t>)</w:t>
            </w:r>
          </w:p>
        </w:tc>
        <w:tc>
          <w:tcPr>
            <w:tcW w:w="1531" w:type="dxa"/>
            <w:gridSpan w:val="2"/>
            <w:vAlign w:val="center"/>
          </w:tcPr>
          <w:p w14:paraId="54E6DC75" w14:textId="1C29DBB8" w:rsidR="00230EBF" w:rsidRPr="00863469" w:rsidRDefault="00115363" w:rsidP="00334948">
            <w:pPr>
              <w:jc w:val="right"/>
              <w:rPr>
                <w:rFonts w:ascii="Arial" w:hAnsi="Arial" w:cs="Arial"/>
                <w:sz w:val="20"/>
                <w:szCs w:val="20"/>
              </w:rPr>
            </w:pPr>
            <w:r w:rsidRPr="00863469">
              <w:rPr>
                <w:rFonts w:ascii="Arial" w:hAnsi="Arial" w:cs="Arial"/>
                <w:sz w:val="20"/>
                <w:szCs w:val="20"/>
              </w:rPr>
              <w:t>(30.4)</w:t>
            </w:r>
          </w:p>
        </w:tc>
        <w:tc>
          <w:tcPr>
            <w:tcW w:w="1531" w:type="dxa"/>
            <w:vAlign w:val="center"/>
          </w:tcPr>
          <w:p w14:paraId="37A45C5B" w14:textId="4C43A8CF" w:rsidR="00230EBF" w:rsidRPr="00863469" w:rsidRDefault="00115363" w:rsidP="00334948">
            <w:pPr>
              <w:jc w:val="right"/>
              <w:rPr>
                <w:rFonts w:ascii="Arial" w:hAnsi="Arial" w:cs="Arial"/>
                <w:sz w:val="20"/>
                <w:szCs w:val="20"/>
              </w:rPr>
            </w:pPr>
            <w:r w:rsidRPr="00863469">
              <w:rPr>
                <w:rFonts w:ascii="Arial" w:hAnsi="Arial" w:cs="Arial"/>
                <w:sz w:val="20"/>
                <w:szCs w:val="20"/>
              </w:rPr>
              <w:t>(59.5)</w:t>
            </w:r>
          </w:p>
        </w:tc>
      </w:tr>
      <w:tr w:rsidR="00230EBF" w:rsidRPr="000B13F3" w14:paraId="7EC30008" w14:textId="77777777" w:rsidTr="00334948">
        <w:trPr>
          <w:trHeight w:val="340"/>
        </w:trPr>
        <w:tc>
          <w:tcPr>
            <w:tcW w:w="6576" w:type="dxa"/>
            <w:gridSpan w:val="2"/>
            <w:vAlign w:val="center"/>
          </w:tcPr>
          <w:p w14:paraId="4B6C2006" w14:textId="23CF00AF" w:rsidR="00230EBF" w:rsidRPr="00863469" w:rsidRDefault="00115363" w:rsidP="00334948">
            <w:pPr>
              <w:rPr>
                <w:rFonts w:ascii="Arial" w:hAnsi="Arial" w:cs="Arial"/>
                <w:sz w:val="20"/>
                <w:szCs w:val="20"/>
              </w:rPr>
            </w:pPr>
            <w:r w:rsidRPr="00863469">
              <w:rPr>
                <w:rFonts w:ascii="Arial" w:hAnsi="Arial" w:cs="Arial"/>
                <w:sz w:val="20"/>
                <w:szCs w:val="20"/>
              </w:rPr>
              <w:t>Net capex</w:t>
            </w:r>
          </w:p>
        </w:tc>
        <w:tc>
          <w:tcPr>
            <w:tcW w:w="1531" w:type="dxa"/>
            <w:gridSpan w:val="2"/>
            <w:vAlign w:val="center"/>
          </w:tcPr>
          <w:p w14:paraId="0E156558" w14:textId="2BEE3F25" w:rsidR="00230EBF" w:rsidRPr="00863469" w:rsidRDefault="00115363" w:rsidP="00334948">
            <w:pPr>
              <w:jc w:val="right"/>
              <w:rPr>
                <w:rFonts w:ascii="Arial" w:hAnsi="Arial" w:cs="Arial"/>
                <w:sz w:val="20"/>
                <w:szCs w:val="20"/>
              </w:rPr>
            </w:pPr>
            <w:r w:rsidRPr="00863469">
              <w:rPr>
                <w:rFonts w:ascii="Arial" w:hAnsi="Arial" w:cs="Arial"/>
                <w:sz w:val="20"/>
                <w:szCs w:val="20"/>
              </w:rPr>
              <w:t>(13.0)</w:t>
            </w:r>
          </w:p>
        </w:tc>
        <w:tc>
          <w:tcPr>
            <w:tcW w:w="1531" w:type="dxa"/>
            <w:vAlign w:val="center"/>
          </w:tcPr>
          <w:p w14:paraId="65DD884E" w14:textId="7C3BCB05" w:rsidR="00230EBF" w:rsidRPr="00863469" w:rsidRDefault="00115363" w:rsidP="00334948">
            <w:pPr>
              <w:jc w:val="right"/>
              <w:rPr>
                <w:rFonts w:ascii="Arial" w:hAnsi="Arial" w:cs="Arial"/>
                <w:sz w:val="20"/>
                <w:szCs w:val="20"/>
              </w:rPr>
            </w:pPr>
            <w:r w:rsidRPr="00863469">
              <w:rPr>
                <w:rFonts w:ascii="Arial" w:hAnsi="Arial" w:cs="Arial"/>
                <w:sz w:val="20"/>
                <w:szCs w:val="20"/>
              </w:rPr>
              <w:t>(15.0)</w:t>
            </w:r>
          </w:p>
        </w:tc>
      </w:tr>
      <w:tr w:rsidR="00230EBF" w:rsidRPr="000B13F3" w14:paraId="0A15020D" w14:textId="77777777" w:rsidTr="00863469">
        <w:trPr>
          <w:trHeight w:val="340"/>
        </w:trPr>
        <w:tc>
          <w:tcPr>
            <w:tcW w:w="6576" w:type="dxa"/>
            <w:gridSpan w:val="2"/>
            <w:tcBorders>
              <w:bottom w:val="single" w:sz="4" w:space="0" w:color="auto"/>
            </w:tcBorders>
            <w:vAlign w:val="center"/>
          </w:tcPr>
          <w:p w14:paraId="4B362B67" w14:textId="5A4006FA" w:rsidR="00230EBF" w:rsidRPr="00863469" w:rsidRDefault="004B35CE" w:rsidP="00334948">
            <w:pPr>
              <w:rPr>
                <w:rFonts w:ascii="Arial" w:hAnsi="Arial" w:cs="Arial"/>
                <w:sz w:val="20"/>
                <w:szCs w:val="20"/>
              </w:rPr>
            </w:pPr>
            <w:r>
              <w:rPr>
                <w:rFonts w:ascii="Arial" w:hAnsi="Arial" w:cs="Arial"/>
                <w:sz w:val="20"/>
                <w:szCs w:val="20"/>
              </w:rPr>
              <w:t>Proceeds from share issuance</w:t>
            </w:r>
          </w:p>
        </w:tc>
        <w:tc>
          <w:tcPr>
            <w:tcW w:w="1531" w:type="dxa"/>
            <w:gridSpan w:val="2"/>
            <w:tcBorders>
              <w:bottom w:val="single" w:sz="4" w:space="0" w:color="auto"/>
            </w:tcBorders>
            <w:vAlign w:val="center"/>
          </w:tcPr>
          <w:p w14:paraId="782BFBE3" w14:textId="12CB7F5B" w:rsidR="00230EBF" w:rsidRPr="00863469" w:rsidRDefault="00115363" w:rsidP="00334948">
            <w:pPr>
              <w:jc w:val="right"/>
              <w:rPr>
                <w:rFonts w:ascii="Arial" w:hAnsi="Arial" w:cs="Arial"/>
                <w:sz w:val="20"/>
                <w:szCs w:val="20"/>
              </w:rPr>
            </w:pPr>
            <w:r w:rsidRPr="00863469">
              <w:rPr>
                <w:rFonts w:ascii="Arial" w:hAnsi="Arial" w:cs="Arial"/>
                <w:sz w:val="20"/>
                <w:szCs w:val="20"/>
              </w:rPr>
              <w:t>1.5</w:t>
            </w:r>
          </w:p>
        </w:tc>
        <w:tc>
          <w:tcPr>
            <w:tcW w:w="1531" w:type="dxa"/>
            <w:tcBorders>
              <w:bottom w:val="single" w:sz="4" w:space="0" w:color="auto"/>
            </w:tcBorders>
            <w:vAlign w:val="center"/>
          </w:tcPr>
          <w:p w14:paraId="4A6B1BC4" w14:textId="6054D2B2" w:rsidR="00230EBF" w:rsidRPr="00863469" w:rsidRDefault="00115363" w:rsidP="00334948">
            <w:pPr>
              <w:jc w:val="right"/>
              <w:rPr>
                <w:rFonts w:ascii="Arial" w:hAnsi="Arial" w:cs="Arial"/>
                <w:sz w:val="20"/>
                <w:szCs w:val="20"/>
              </w:rPr>
            </w:pPr>
            <w:r w:rsidRPr="00863469">
              <w:rPr>
                <w:rFonts w:ascii="Arial" w:hAnsi="Arial" w:cs="Arial"/>
                <w:sz w:val="20"/>
                <w:szCs w:val="20"/>
              </w:rPr>
              <w:t>-</w:t>
            </w:r>
          </w:p>
        </w:tc>
      </w:tr>
      <w:tr w:rsidR="00230EBF" w:rsidRPr="000B13F3" w14:paraId="53F6880E" w14:textId="77777777" w:rsidTr="00863469">
        <w:trPr>
          <w:trHeight w:val="340"/>
        </w:trPr>
        <w:tc>
          <w:tcPr>
            <w:tcW w:w="6576" w:type="dxa"/>
            <w:gridSpan w:val="2"/>
            <w:tcBorders>
              <w:top w:val="single" w:sz="4" w:space="0" w:color="auto"/>
              <w:bottom w:val="single" w:sz="4" w:space="0" w:color="auto"/>
            </w:tcBorders>
            <w:vAlign w:val="center"/>
          </w:tcPr>
          <w:p w14:paraId="4D0700E9" w14:textId="4A06027A" w:rsidR="00230EBF" w:rsidRPr="000B13F3" w:rsidRDefault="00115363" w:rsidP="00334948">
            <w:pPr>
              <w:rPr>
                <w:rFonts w:ascii="Arial" w:hAnsi="Arial" w:cs="Arial"/>
                <w:b/>
                <w:bCs/>
                <w:sz w:val="20"/>
                <w:szCs w:val="20"/>
              </w:rPr>
            </w:pPr>
            <w:r>
              <w:rPr>
                <w:rFonts w:ascii="Arial" w:hAnsi="Arial" w:cs="Arial"/>
                <w:b/>
                <w:bCs/>
                <w:sz w:val="20"/>
                <w:szCs w:val="20"/>
              </w:rPr>
              <w:softHyphen/>
              <w:t>Movement in net debt</w:t>
            </w:r>
          </w:p>
        </w:tc>
        <w:tc>
          <w:tcPr>
            <w:tcW w:w="1531" w:type="dxa"/>
            <w:gridSpan w:val="2"/>
            <w:tcBorders>
              <w:top w:val="single" w:sz="4" w:space="0" w:color="auto"/>
              <w:bottom w:val="single" w:sz="4" w:space="0" w:color="auto"/>
            </w:tcBorders>
            <w:vAlign w:val="center"/>
          </w:tcPr>
          <w:p w14:paraId="20BAD92A" w14:textId="048F6E02" w:rsidR="00230EBF" w:rsidRDefault="000923E7" w:rsidP="00334948">
            <w:pPr>
              <w:jc w:val="right"/>
              <w:rPr>
                <w:rFonts w:ascii="Arial" w:hAnsi="Arial" w:cs="Arial"/>
                <w:b/>
                <w:bCs/>
                <w:sz w:val="20"/>
                <w:szCs w:val="20"/>
              </w:rPr>
            </w:pPr>
            <w:r>
              <w:rPr>
                <w:rFonts w:ascii="Arial" w:hAnsi="Arial" w:cs="Arial"/>
                <w:b/>
                <w:bCs/>
                <w:sz w:val="20"/>
                <w:szCs w:val="20"/>
              </w:rPr>
              <w:t>(15.8)</w:t>
            </w:r>
          </w:p>
        </w:tc>
        <w:tc>
          <w:tcPr>
            <w:tcW w:w="1531" w:type="dxa"/>
            <w:tcBorders>
              <w:top w:val="single" w:sz="4" w:space="0" w:color="auto"/>
              <w:bottom w:val="single" w:sz="4" w:space="0" w:color="auto"/>
            </w:tcBorders>
            <w:vAlign w:val="center"/>
          </w:tcPr>
          <w:p w14:paraId="3B29F707" w14:textId="26FA0237" w:rsidR="00230EBF" w:rsidRDefault="000923E7" w:rsidP="00334948">
            <w:pPr>
              <w:jc w:val="right"/>
              <w:rPr>
                <w:rFonts w:ascii="Arial" w:hAnsi="Arial" w:cs="Arial"/>
                <w:b/>
                <w:bCs/>
                <w:sz w:val="20"/>
                <w:szCs w:val="20"/>
              </w:rPr>
            </w:pPr>
            <w:r>
              <w:rPr>
                <w:rFonts w:ascii="Arial" w:hAnsi="Arial" w:cs="Arial"/>
                <w:b/>
                <w:bCs/>
                <w:sz w:val="20"/>
                <w:szCs w:val="20"/>
              </w:rPr>
              <w:t>(52.0)</w:t>
            </w:r>
          </w:p>
        </w:tc>
      </w:tr>
      <w:tr w:rsidR="00230EBF" w:rsidRPr="000B13F3" w14:paraId="4FDFB88C" w14:textId="77777777" w:rsidTr="00863469">
        <w:trPr>
          <w:trHeight w:val="340"/>
        </w:trPr>
        <w:tc>
          <w:tcPr>
            <w:tcW w:w="6576" w:type="dxa"/>
            <w:gridSpan w:val="2"/>
            <w:tcBorders>
              <w:top w:val="single" w:sz="4" w:space="0" w:color="auto"/>
            </w:tcBorders>
            <w:vAlign w:val="center"/>
          </w:tcPr>
          <w:p w14:paraId="400FB0DC" w14:textId="2B275BAC" w:rsidR="00230EBF" w:rsidRPr="000B13F3" w:rsidRDefault="000923E7" w:rsidP="00334948">
            <w:pPr>
              <w:rPr>
                <w:rFonts w:ascii="Arial" w:hAnsi="Arial" w:cs="Arial"/>
                <w:sz w:val="20"/>
                <w:szCs w:val="20"/>
              </w:rPr>
            </w:pPr>
            <w:r>
              <w:rPr>
                <w:rFonts w:ascii="Arial" w:hAnsi="Arial" w:cs="Arial"/>
                <w:sz w:val="20"/>
                <w:szCs w:val="20"/>
              </w:rPr>
              <w:t>Opening net debt (excluding leases)</w:t>
            </w:r>
          </w:p>
        </w:tc>
        <w:tc>
          <w:tcPr>
            <w:tcW w:w="1531" w:type="dxa"/>
            <w:gridSpan w:val="2"/>
            <w:tcBorders>
              <w:top w:val="single" w:sz="4" w:space="0" w:color="auto"/>
            </w:tcBorders>
            <w:vAlign w:val="center"/>
          </w:tcPr>
          <w:p w14:paraId="3500D073" w14:textId="4A286B0A" w:rsidR="00230EBF" w:rsidRPr="000B13F3" w:rsidRDefault="000923E7" w:rsidP="00334948">
            <w:pPr>
              <w:jc w:val="right"/>
              <w:rPr>
                <w:rFonts w:ascii="Arial" w:hAnsi="Arial" w:cs="Arial"/>
                <w:sz w:val="20"/>
                <w:szCs w:val="20"/>
              </w:rPr>
            </w:pPr>
            <w:r>
              <w:rPr>
                <w:rFonts w:ascii="Arial" w:hAnsi="Arial" w:cs="Arial"/>
                <w:sz w:val="20"/>
                <w:szCs w:val="20"/>
              </w:rPr>
              <w:t>(160.8)</w:t>
            </w:r>
          </w:p>
        </w:tc>
        <w:tc>
          <w:tcPr>
            <w:tcW w:w="1531" w:type="dxa"/>
            <w:tcBorders>
              <w:top w:val="single" w:sz="4" w:space="0" w:color="auto"/>
            </w:tcBorders>
            <w:vAlign w:val="center"/>
          </w:tcPr>
          <w:p w14:paraId="7B498E29" w14:textId="0E5A558C" w:rsidR="00230EBF" w:rsidRPr="000B13F3" w:rsidRDefault="000923E7" w:rsidP="00334948">
            <w:pPr>
              <w:jc w:val="right"/>
              <w:rPr>
                <w:rFonts w:ascii="Arial" w:hAnsi="Arial" w:cs="Arial"/>
                <w:sz w:val="20"/>
                <w:szCs w:val="20"/>
              </w:rPr>
            </w:pPr>
            <w:r>
              <w:rPr>
                <w:rFonts w:ascii="Arial" w:hAnsi="Arial" w:cs="Arial"/>
                <w:sz w:val="20"/>
                <w:szCs w:val="20"/>
              </w:rPr>
              <w:t>(108.8)</w:t>
            </w:r>
          </w:p>
        </w:tc>
      </w:tr>
      <w:tr w:rsidR="00230EBF" w:rsidRPr="000B13F3" w14:paraId="43D2D2C4" w14:textId="77777777" w:rsidTr="00863469">
        <w:trPr>
          <w:trHeight w:val="340"/>
        </w:trPr>
        <w:tc>
          <w:tcPr>
            <w:tcW w:w="6576" w:type="dxa"/>
            <w:gridSpan w:val="2"/>
            <w:tcBorders>
              <w:bottom w:val="single" w:sz="4" w:space="0" w:color="auto"/>
            </w:tcBorders>
            <w:vAlign w:val="center"/>
          </w:tcPr>
          <w:p w14:paraId="54B7C43A" w14:textId="45373C54" w:rsidR="00230EBF" w:rsidRPr="000B13F3" w:rsidRDefault="000923E7" w:rsidP="00334948">
            <w:pPr>
              <w:rPr>
                <w:rFonts w:ascii="Arial" w:hAnsi="Arial" w:cs="Arial"/>
                <w:sz w:val="20"/>
                <w:szCs w:val="20"/>
              </w:rPr>
            </w:pPr>
            <w:r>
              <w:rPr>
                <w:rFonts w:ascii="Arial" w:hAnsi="Arial" w:cs="Arial"/>
                <w:sz w:val="20"/>
                <w:szCs w:val="20"/>
              </w:rPr>
              <w:t>Closing net debt (excluding leases)</w:t>
            </w:r>
          </w:p>
        </w:tc>
        <w:tc>
          <w:tcPr>
            <w:tcW w:w="1531" w:type="dxa"/>
            <w:gridSpan w:val="2"/>
            <w:tcBorders>
              <w:bottom w:val="single" w:sz="4" w:space="0" w:color="auto"/>
            </w:tcBorders>
            <w:vAlign w:val="center"/>
          </w:tcPr>
          <w:p w14:paraId="28EFB818" w14:textId="3879DA1F" w:rsidR="00230EBF" w:rsidRPr="000B13F3" w:rsidRDefault="000923E7" w:rsidP="00334948">
            <w:pPr>
              <w:jc w:val="right"/>
              <w:rPr>
                <w:rFonts w:ascii="Arial" w:hAnsi="Arial" w:cs="Arial"/>
                <w:sz w:val="20"/>
                <w:szCs w:val="20"/>
              </w:rPr>
            </w:pPr>
            <w:r>
              <w:rPr>
                <w:rFonts w:ascii="Arial" w:hAnsi="Arial" w:cs="Arial"/>
                <w:sz w:val="20"/>
                <w:szCs w:val="20"/>
              </w:rPr>
              <w:t>(176.6)</w:t>
            </w:r>
          </w:p>
        </w:tc>
        <w:tc>
          <w:tcPr>
            <w:tcW w:w="1531" w:type="dxa"/>
            <w:tcBorders>
              <w:bottom w:val="single" w:sz="4" w:space="0" w:color="auto"/>
            </w:tcBorders>
            <w:vAlign w:val="center"/>
          </w:tcPr>
          <w:p w14:paraId="0F762E17" w14:textId="3089289C" w:rsidR="00230EBF" w:rsidRPr="000B13F3" w:rsidRDefault="000923E7" w:rsidP="00334948">
            <w:pPr>
              <w:jc w:val="right"/>
              <w:rPr>
                <w:rFonts w:ascii="Arial" w:hAnsi="Arial" w:cs="Arial"/>
                <w:sz w:val="20"/>
                <w:szCs w:val="20"/>
              </w:rPr>
            </w:pPr>
            <w:r>
              <w:rPr>
                <w:rFonts w:ascii="Arial" w:hAnsi="Arial" w:cs="Arial"/>
                <w:sz w:val="20"/>
                <w:szCs w:val="20"/>
              </w:rPr>
              <w:t>(160.8)</w:t>
            </w:r>
          </w:p>
        </w:tc>
      </w:tr>
    </w:tbl>
    <w:p w14:paraId="0EEAC1C9" w14:textId="77777777" w:rsidR="000923E7" w:rsidRDefault="000923E7" w:rsidP="002A163E">
      <w:pPr>
        <w:spacing w:after="0" w:line="240" w:lineRule="auto"/>
        <w:jc w:val="both"/>
        <w:rPr>
          <w:rFonts w:ascii="Arial" w:hAnsi="Arial" w:cs="Arial"/>
          <w:sz w:val="20"/>
          <w:szCs w:val="20"/>
        </w:rPr>
      </w:pPr>
    </w:p>
    <w:p w14:paraId="3C559097" w14:textId="77777777" w:rsidR="004B3354" w:rsidRDefault="004B3354" w:rsidP="00863469">
      <w:pPr>
        <w:spacing w:after="0" w:line="240" w:lineRule="auto"/>
        <w:jc w:val="both"/>
        <w:rPr>
          <w:rFonts w:ascii="Arial" w:hAnsi="Arial" w:cs="Arial"/>
          <w:sz w:val="20"/>
          <w:szCs w:val="20"/>
        </w:rPr>
      </w:pPr>
    </w:p>
    <w:p w14:paraId="4C2FEE1D" w14:textId="2432D0DE" w:rsidR="004B3354" w:rsidRDefault="002959ED" w:rsidP="004B3354">
      <w:pPr>
        <w:spacing w:after="0" w:line="240" w:lineRule="auto"/>
        <w:jc w:val="both"/>
        <w:rPr>
          <w:rFonts w:ascii="Arial" w:hAnsi="Arial" w:cs="Arial"/>
          <w:sz w:val="20"/>
          <w:szCs w:val="20"/>
        </w:rPr>
      </w:pPr>
      <w:r w:rsidRPr="000B13F3">
        <w:rPr>
          <w:rFonts w:ascii="Arial" w:hAnsi="Arial" w:cs="Arial"/>
          <w:sz w:val="20"/>
          <w:szCs w:val="20"/>
        </w:rPr>
        <w:lastRenderedPageBreak/>
        <w:t xml:space="preserve">The increase </w:t>
      </w:r>
      <w:r w:rsidR="000D4202">
        <w:rPr>
          <w:rFonts w:ascii="Arial" w:hAnsi="Arial" w:cs="Arial"/>
          <w:sz w:val="20"/>
          <w:szCs w:val="20"/>
        </w:rPr>
        <w:t xml:space="preserve">in net debt </w:t>
      </w:r>
      <w:r w:rsidRPr="000B13F3">
        <w:rPr>
          <w:rFonts w:ascii="Arial" w:hAnsi="Arial" w:cs="Arial"/>
          <w:sz w:val="20"/>
          <w:szCs w:val="20"/>
        </w:rPr>
        <w:t>reflects the execution of the M&amp;A strategy with £</w:t>
      </w:r>
      <w:r w:rsidR="00A91535">
        <w:rPr>
          <w:rFonts w:ascii="Arial" w:hAnsi="Arial" w:cs="Arial"/>
          <w:sz w:val="20"/>
          <w:szCs w:val="20"/>
        </w:rPr>
        <w:t>30</w:t>
      </w:r>
      <w:r w:rsidRPr="000B13F3">
        <w:rPr>
          <w:rFonts w:ascii="Arial" w:hAnsi="Arial" w:cs="Arial"/>
          <w:sz w:val="20"/>
          <w:szCs w:val="20"/>
        </w:rPr>
        <w:t xml:space="preserve"> million deployed </w:t>
      </w:r>
      <w:r w:rsidR="000D4202">
        <w:rPr>
          <w:rFonts w:ascii="Arial" w:hAnsi="Arial" w:cs="Arial"/>
          <w:sz w:val="20"/>
          <w:szCs w:val="20"/>
        </w:rPr>
        <w:t>on M&amp;A</w:t>
      </w:r>
      <w:r w:rsidR="00A91535">
        <w:rPr>
          <w:rFonts w:ascii="Arial" w:hAnsi="Arial" w:cs="Arial"/>
          <w:sz w:val="20"/>
          <w:szCs w:val="20"/>
        </w:rPr>
        <w:t xml:space="preserve"> </w:t>
      </w:r>
      <w:r w:rsidR="00933713">
        <w:rPr>
          <w:rFonts w:ascii="Arial" w:hAnsi="Arial" w:cs="Arial"/>
          <w:sz w:val="20"/>
          <w:szCs w:val="20"/>
        </w:rPr>
        <w:t>and the significant investment in restructuring programmes</w:t>
      </w:r>
      <w:r w:rsidR="00A91535">
        <w:rPr>
          <w:rFonts w:ascii="Arial" w:hAnsi="Arial" w:cs="Arial"/>
          <w:sz w:val="20"/>
          <w:szCs w:val="20"/>
        </w:rPr>
        <w:t xml:space="preserve">. This was </w:t>
      </w:r>
      <w:r w:rsidR="00933713">
        <w:rPr>
          <w:rFonts w:ascii="Arial" w:hAnsi="Arial" w:cs="Arial"/>
          <w:sz w:val="20"/>
          <w:szCs w:val="20"/>
        </w:rPr>
        <w:t xml:space="preserve">partially </w:t>
      </w:r>
      <w:r w:rsidR="00A91535">
        <w:rPr>
          <w:rFonts w:ascii="Arial" w:hAnsi="Arial" w:cs="Arial"/>
          <w:sz w:val="20"/>
          <w:szCs w:val="20"/>
        </w:rPr>
        <w:t xml:space="preserve">offset </w:t>
      </w:r>
      <w:r w:rsidRPr="000B13F3">
        <w:rPr>
          <w:rFonts w:ascii="Arial" w:hAnsi="Arial" w:cs="Arial"/>
          <w:sz w:val="20"/>
          <w:szCs w:val="20"/>
        </w:rPr>
        <w:t>by strong cash generation</w:t>
      </w:r>
      <w:r w:rsidR="00410784" w:rsidRPr="000B13F3">
        <w:rPr>
          <w:rFonts w:ascii="Arial" w:hAnsi="Arial" w:cs="Arial"/>
          <w:sz w:val="20"/>
          <w:szCs w:val="20"/>
        </w:rPr>
        <w:t>, particularly in the second half of the year</w:t>
      </w:r>
      <w:r w:rsidRPr="000B13F3">
        <w:rPr>
          <w:rFonts w:ascii="Arial" w:hAnsi="Arial" w:cs="Arial"/>
          <w:sz w:val="20"/>
          <w:szCs w:val="20"/>
        </w:rPr>
        <w:t xml:space="preserve">. </w:t>
      </w:r>
    </w:p>
    <w:p w14:paraId="7EFFD840" w14:textId="77777777" w:rsidR="004B3354" w:rsidRDefault="004B3354" w:rsidP="004B3354">
      <w:pPr>
        <w:spacing w:after="0" w:line="240" w:lineRule="auto"/>
        <w:jc w:val="both"/>
        <w:rPr>
          <w:rFonts w:ascii="Arial" w:hAnsi="Arial" w:cs="Arial"/>
          <w:sz w:val="20"/>
          <w:szCs w:val="20"/>
        </w:rPr>
      </w:pPr>
    </w:p>
    <w:p w14:paraId="0F0351DF" w14:textId="4A04ABCD" w:rsidR="000D4202" w:rsidRDefault="004B3354" w:rsidP="000D4202">
      <w:pPr>
        <w:spacing w:after="0" w:line="240" w:lineRule="auto"/>
        <w:jc w:val="both"/>
        <w:rPr>
          <w:rFonts w:ascii="Arial" w:hAnsi="Arial" w:cs="Arial"/>
          <w:sz w:val="20"/>
          <w:szCs w:val="20"/>
        </w:rPr>
      </w:pPr>
      <w:r>
        <w:rPr>
          <w:rFonts w:ascii="Arial" w:hAnsi="Arial" w:cs="Arial"/>
          <w:sz w:val="20"/>
          <w:szCs w:val="20"/>
        </w:rPr>
        <w:t>During the year</w:t>
      </w:r>
      <w:r w:rsidR="000D4202">
        <w:rPr>
          <w:rFonts w:ascii="Arial" w:hAnsi="Arial" w:cs="Arial"/>
          <w:sz w:val="20"/>
          <w:szCs w:val="20"/>
        </w:rPr>
        <w:t xml:space="preserve">, the Group had </w:t>
      </w:r>
      <w:r>
        <w:rPr>
          <w:rFonts w:ascii="Arial" w:hAnsi="Arial" w:cs="Arial"/>
          <w:sz w:val="20"/>
          <w:szCs w:val="20"/>
        </w:rPr>
        <w:t xml:space="preserve">£11.9 million (FY23: £11.1 million) </w:t>
      </w:r>
      <w:r w:rsidR="000D4202">
        <w:rPr>
          <w:rFonts w:ascii="Arial" w:hAnsi="Arial" w:cs="Arial"/>
          <w:sz w:val="20"/>
          <w:szCs w:val="20"/>
        </w:rPr>
        <w:t xml:space="preserve">of </w:t>
      </w:r>
      <w:r>
        <w:rPr>
          <w:rFonts w:ascii="Arial" w:hAnsi="Arial" w:cs="Arial"/>
          <w:sz w:val="20"/>
          <w:szCs w:val="20"/>
        </w:rPr>
        <w:t xml:space="preserve">lease </w:t>
      </w:r>
      <w:r w:rsidR="000D4202">
        <w:rPr>
          <w:rFonts w:ascii="Arial" w:hAnsi="Arial" w:cs="Arial"/>
          <w:sz w:val="20"/>
          <w:szCs w:val="20"/>
        </w:rPr>
        <w:t xml:space="preserve">expenses </w:t>
      </w:r>
      <w:r>
        <w:rPr>
          <w:rFonts w:ascii="Arial" w:hAnsi="Arial" w:cs="Arial"/>
          <w:sz w:val="20"/>
          <w:szCs w:val="20"/>
        </w:rPr>
        <w:t>of which just below £11 million relat</w:t>
      </w:r>
      <w:r w:rsidR="00A91535">
        <w:rPr>
          <w:rFonts w:ascii="Arial" w:hAnsi="Arial" w:cs="Arial"/>
          <w:sz w:val="20"/>
          <w:szCs w:val="20"/>
        </w:rPr>
        <w:t xml:space="preserve">es </w:t>
      </w:r>
      <w:r>
        <w:rPr>
          <w:rFonts w:ascii="Arial" w:hAnsi="Arial" w:cs="Arial"/>
          <w:sz w:val="20"/>
          <w:szCs w:val="20"/>
        </w:rPr>
        <w:t xml:space="preserve">to continuing operations. </w:t>
      </w:r>
      <w:r w:rsidR="00A91535">
        <w:rPr>
          <w:rFonts w:ascii="Arial" w:hAnsi="Arial" w:cs="Arial"/>
          <w:sz w:val="20"/>
          <w:szCs w:val="20"/>
        </w:rPr>
        <w:t xml:space="preserve">Capital expenditure totalled </w:t>
      </w:r>
      <w:r>
        <w:rPr>
          <w:rFonts w:ascii="Arial" w:hAnsi="Arial" w:cs="Arial"/>
          <w:sz w:val="20"/>
          <w:szCs w:val="20"/>
        </w:rPr>
        <w:t>£13.0 million</w:t>
      </w:r>
      <w:r w:rsidR="00A91535">
        <w:rPr>
          <w:rFonts w:ascii="Arial" w:hAnsi="Arial" w:cs="Arial"/>
          <w:sz w:val="20"/>
          <w:szCs w:val="20"/>
        </w:rPr>
        <w:t xml:space="preserve"> (FY23: £15.0 million)</w:t>
      </w:r>
      <w:r>
        <w:rPr>
          <w:rFonts w:ascii="Arial" w:hAnsi="Arial" w:cs="Arial"/>
          <w:sz w:val="20"/>
          <w:szCs w:val="20"/>
        </w:rPr>
        <w:t xml:space="preserve"> of which £5.5 million relates to the continuing operations. </w:t>
      </w:r>
    </w:p>
    <w:p w14:paraId="6B78B839" w14:textId="77777777" w:rsidR="000D4202" w:rsidRDefault="000D4202" w:rsidP="000D4202">
      <w:pPr>
        <w:spacing w:after="0" w:line="240" w:lineRule="auto"/>
        <w:jc w:val="both"/>
        <w:rPr>
          <w:rFonts w:ascii="Arial" w:hAnsi="Arial" w:cs="Arial"/>
          <w:sz w:val="20"/>
          <w:szCs w:val="20"/>
        </w:rPr>
      </w:pPr>
    </w:p>
    <w:p w14:paraId="65697FFD" w14:textId="1FE8A170" w:rsidR="00DB06B9" w:rsidRPr="00863469" w:rsidRDefault="000D4202" w:rsidP="009C56E0">
      <w:pPr>
        <w:spacing w:after="0" w:line="240" w:lineRule="auto"/>
        <w:jc w:val="both"/>
        <w:rPr>
          <w:rFonts w:ascii="Arial" w:hAnsi="Arial" w:cs="Arial"/>
          <w:sz w:val="20"/>
          <w:szCs w:val="20"/>
        </w:rPr>
      </w:pPr>
      <w:r w:rsidRPr="002A163E">
        <w:rPr>
          <w:rFonts w:ascii="Arial" w:eastAsia="Times New Roman" w:hAnsi="Arial" w:cs="Arial"/>
          <w:color w:val="000000"/>
          <w:sz w:val="20"/>
          <w:szCs w:val="20"/>
          <w:lang w:eastAsia="en-GB"/>
        </w:rPr>
        <w:t>Net debt</w:t>
      </w:r>
      <w:r>
        <w:rPr>
          <w:rFonts w:ascii="Arial" w:eastAsia="Times New Roman" w:hAnsi="Arial" w:cs="Arial"/>
          <w:color w:val="000000"/>
          <w:sz w:val="20"/>
          <w:szCs w:val="20"/>
          <w:lang w:eastAsia="en-GB"/>
        </w:rPr>
        <w:t xml:space="preserve"> as </w:t>
      </w:r>
      <w:proofErr w:type="gramStart"/>
      <w:r>
        <w:rPr>
          <w:rFonts w:ascii="Arial" w:eastAsia="Times New Roman" w:hAnsi="Arial" w:cs="Arial"/>
          <w:color w:val="000000"/>
          <w:sz w:val="20"/>
          <w:szCs w:val="20"/>
          <w:lang w:eastAsia="en-GB"/>
        </w:rPr>
        <w:t>at</w:t>
      </w:r>
      <w:proofErr w:type="gramEnd"/>
      <w:r>
        <w:rPr>
          <w:rFonts w:ascii="Arial" w:eastAsia="Times New Roman" w:hAnsi="Arial" w:cs="Arial"/>
          <w:color w:val="000000"/>
          <w:sz w:val="20"/>
          <w:szCs w:val="20"/>
          <w:lang w:eastAsia="en-GB"/>
        </w:rPr>
        <w:t xml:space="preserve"> 31 March 2024, including inter alia £26.</w:t>
      </w:r>
      <w:r w:rsidR="006A49C0">
        <w:rPr>
          <w:rFonts w:ascii="Arial" w:eastAsia="Times New Roman" w:hAnsi="Arial" w:cs="Arial"/>
          <w:color w:val="000000"/>
          <w:sz w:val="20"/>
          <w:szCs w:val="20"/>
          <w:lang w:eastAsia="en-GB"/>
        </w:rPr>
        <w:t>6</w:t>
      </w:r>
      <w:r>
        <w:rPr>
          <w:rFonts w:ascii="Arial" w:eastAsia="Times New Roman" w:hAnsi="Arial" w:cs="Arial"/>
          <w:color w:val="000000"/>
          <w:sz w:val="20"/>
          <w:szCs w:val="20"/>
          <w:lang w:eastAsia="en-GB"/>
        </w:rPr>
        <w:t xml:space="preserve"> million of lease liabilities, was £20</w:t>
      </w:r>
      <w:r w:rsidR="006A49C0">
        <w:rPr>
          <w:rFonts w:ascii="Arial" w:eastAsia="Times New Roman" w:hAnsi="Arial" w:cs="Arial"/>
          <w:color w:val="000000"/>
          <w:sz w:val="20"/>
          <w:szCs w:val="20"/>
          <w:lang w:eastAsia="en-GB"/>
        </w:rPr>
        <w:t>3.2</w:t>
      </w:r>
      <w:r>
        <w:rPr>
          <w:rFonts w:ascii="Arial" w:eastAsia="Times New Roman" w:hAnsi="Arial" w:cs="Arial"/>
          <w:color w:val="000000"/>
          <w:sz w:val="20"/>
          <w:szCs w:val="20"/>
          <w:lang w:eastAsia="en-GB"/>
        </w:rPr>
        <w:t xml:space="preserve"> million (FY23: £188.9 million). Adjusted net debt (excluding lease liabilities) at year was £176.6 million (FY23: £160.8 million)</w:t>
      </w:r>
      <w:r w:rsidR="004925E8">
        <w:rPr>
          <w:rFonts w:ascii="Arial" w:hAnsi="Arial" w:cs="Arial"/>
          <w:sz w:val="20"/>
          <w:szCs w:val="20"/>
        </w:rPr>
        <w:t xml:space="preserve">. </w:t>
      </w:r>
      <w:r w:rsidR="00C563A6" w:rsidRPr="00DB06B9">
        <w:rPr>
          <w:rFonts w:ascii="Arial" w:hAnsi="Arial" w:cs="Arial"/>
          <w:sz w:val="20"/>
          <w:szCs w:val="20"/>
        </w:rPr>
        <w:t>Since the year end the Group</w:t>
      </w:r>
      <w:r w:rsidR="00A91535">
        <w:rPr>
          <w:rFonts w:ascii="Arial" w:hAnsi="Arial" w:cs="Arial"/>
          <w:sz w:val="20"/>
          <w:szCs w:val="20"/>
        </w:rPr>
        <w:t xml:space="preserve"> </w:t>
      </w:r>
      <w:r w:rsidR="00933713">
        <w:rPr>
          <w:rFonts w:ascii="Arial" w:hAnsi="Arial" w:cs="Arial"/>
          <w:sz w:val="20"/>
          <w:szCs w:val="20"/>
        </w:rPr>
        <w:t xml:space="preserve">repaid </w:t>
      </w:r>
      <w:r>
        <w:rPr>
          <w:rFonts w:ascii="Arial" w:hAnsi="Arial" w:cs="Arial"/>
          <w:sz w:val="20"/>
          <w:szCs w:val="20"/>
        </w:rPr>
        <w:t xml:space="preserve">its old debt facility and </w:t>
      </w:r>
      <w:r w:rsidR="00A91535">
        <w:rPr>
          <w:rFonts w:ascii="Arial" w:hAnsi="Arial" w:cs="Arial"/>
          <w:sz w:val="20"/>
          <w:szCs w:val="20"/>
        </w:rPr>
        <w:t>now</w:t>
      </w:r>
      <w:r w:rsidR="00C563A6" w:rsidRPr="00DB06B9">
        <w:rPr>
          <w:rFonts w:ascii="Arial" w:hAnsi="Arial" w:cs="Arial"/>
          <w:sz w:val="20"/>
          <w:szCs w:val="20"/>
        </w:rPr>
        <w:t xml:space="preserve"> has </w:t>
      </w:r>
      <w:r w:rsidR="00A91535">
        <w:rPr>
          <w:rFonts w:ascii="Arial" w:hAnsi="Arial" w:cs="Arial"/>
          <w:sz w:val="20"/>
          <w:szCs w:val="20"/>
        </w:rPr>
        <w:t xml:space="preserve">a material net cash position following the </w:t>
      </w:r>
      <w:r w:rsidR="00E951BA">
        <w:rPr>
          <w:rFonts w:ascii="Arial" w:hAnsi="Arial" w:cs="Arial"/>
          <w:sz w:val="20"/>
          <w:szCs w:val="20"/>
        </w:rPr>
        <w:t xml:space="preserve">completion of the </w:t>
      </w:r>
      <w:r w:rsidR="00A91535">
        <w:rPr>
          <w:rFonts w:ascii="Arial" w:hAnsi="Arial" w:cs="Arial"/>
          <w:sz w:val="20"/>
          <w:szCs w:val="20"/>
        </w:rPr>
        <w:t xml:space="preserve">Divestment and subsequent £150 million payment of a special dividend on 5 July 2024. </w:t>
      </w:r>
      <w:r w:rsidR="00DB06B9" w:rsidRPr="00DB06B9">
        <w:rPr>
          <w:rFonts w:ascii="Arial" w:eastAsia="Times New Roman" w:hAnsi="Arial" w:cs="Arial"/>
          <w:color w:val="000000"/>
          <w:sz w:val="20"/>
          <w:szCs w:val="20"/>
          <w:lang w:eastAsia="en-GB"/>
        </w:rPr>
        <w:t>The Group has subsequently initiated a share buyback scheme where it will buy-back up to £75 million of shares</w:t>
      </w:r>
      <w:r w:rsidR="002661E9">
        <w:rPr>
          <w:rFonts w:ascii="Arial" w:eastAsia="Times New Roman" w:hAnsi="Arial" w:cs="Arial"/>
          <w:color w:val="000000"/>
          <w:sz w:val="20"/>
          <w:szCs w:val="20"/>
          <w:lang w:eastAsia="en-GB"/>
        </w:rPr>
        <w:t>.</w:t>
      </w:r>
    </w:p>
    <w:p w14:paraId="0DB8FAF1" w14:textId="77777777" w:rsidR="002D2999" w:rsidRDefault="002D2999" w:rsidP="00DB06B9">
      <w:pPr>
        <w:spacing w:after="0" w:line="240" w:lineRule="auto"/>
        <w:rPr>
          <w:rFonts w:ascii="Arial" w:eastAsia="Times New Roman" w:hAnsi="Arial" w:cs="Arial"/>
          <w:color w:val="000000"/>
          <w:sz w:val="20"/>
          <w:szCs w:val="20"/>
          <w:lang w:eastAsia="en-GB"/>
        </w:rPr>
      </w:pPr>
    </w:p>
    <w:p w14:paraId="41C3A0D7" w14:textId="3A861064" w:rsidR="002D2999" w:rsidRPr="00DB06B9" w:rsidRDefault="002D2999" w:rsidP="00DB06B9">
      <w:pPr>
        <w:spacing w:after="0" w:line="240" w:lineRule="auto"/>
        <w:rPr>
          <w:rFonts w:ascii="Arial" w:eastAsia="Times New Roman" w:hAnsi="Arial" w:cs="Arial"/>
          <w:color w:val="000000"/>
          <w:sz w:val="20"/>
          <w:szCs w:val="20"/>
          <w:lang w:eastAsia="en-GB"/>
        </w:rPr>
      </w:pPr>
      <w:r w:rsidRPr="002D2999">
        <w:rPr>
          <w:rFonts w:ascii="Arial" w:eastAsia="Times New Roman" w:hAnsi="Arial" w:cs="Arial"/>
          <w:color w:val="000000"/>
          <w:sz w:val="20"/>
          <w:szCs w:val="20"/>
          <w:lang w:eastAsia="en-GB"/>
        </w:rPr>
        <w:t xml:space="preserve">On 24 June 2024, the Group </w:t>
      </w:r>
      <w:proofErr w:type="gramStart"/>
      <w:r w:rsidRPr="002D2999">
        <w:rPr>
          <w:rFonts w:ascii="Arial" w:eastAsia="Times New Roman" w:hAnsi="Arial" w:cs="Arial"/>
          <w:color w:val="000000"/>
          <w:sz w:val="20"/>
          <w:szCs w:val="20"/>
          <w:lang w:eastAsia="en-GB"/>
        </w:rPr>
        <w:t>entered into</w:t>
      </w:r>
      <w:proofErr w:type="gramEnd"/>
      <w:r w:rsidRPr="002D2999">
        <w:rPr>
          <w:rFonts w:ascii="Arial" w:eastAsia="Times New Roman" w:hAnsi="Arial" w:cs="Arial"/>
          <w:color w:val="000000"/>
          <w:sz w:val="20"/>
          <w:szCs w:val="20"/>
          <w:lang w:eastAsia="en-GB"/>
        </w:rPr>
        <w:t xml:space="preserve"> a new unsecured 3-year Revolving Credit Facility (“RCF”) of £50 million with an</w:t>
      </w:r>
      <w:r w:rsidR="00763531">
        <w:rPr>
          <w:rFonts w:ascii="Arial" w:eastAsia="Times New Roman" w:hAnsi="Arial" w:cs="Arial"/>
          <w:color w:val="000000"/>
          <w:sz w:val="20"/>
          <w:szCs w:val="20"/>
          <w:lang w:eastAsia="en-GB"/>
        </w:rPr>
        <w:t xml:space="preserve"> uncommitted</w:t>
      </w:r>
      <w:r w:rsidRPr="002D2999">
        <w:rPr>
          <w:rFonts w:ascii="Arial" w:eastAsia="Times New Roman" w:hAnsi="Arial" w:cs="Arial"/>
          <w:color w:val="000000"/>
          <w:sz w:val="20"/>
          <w:szCs w:val="20"/>
          <w:lang w:eastAsia="en-GB"/>
        </w:rPr>
        <w:t xml:space="preserve"> accordion facility of £50 million</w:t>
      </w:r>
      <w:r w:rsidR="00742B10">
        <w:rPr>
          <w:rFonts w:ascii="Arial" w:eastAsia="Times New Roman" w:hAnsi="Arial" w:cs="Arial"/>
          <w:color w:val="000000"/>
          <w:sz w:val="20"/>
          <w:szCs w:val="20"/>
          <w:lang w:eastAsia="en-GB"/>
        </w:rPr>
        <w:t xml:space="preserve">, these facilities are </w:t>
      </w:r>
      <w:r w:rsidR="00933713">
        <w:rPr>
          <w:rFonts w:ascii="Arial" w:eastAsia="Times New Roman" w:hAnsi="Arial" w:cs="Arial"/>
          <w:color w:val="000000"/>
          <w:sz w:val="20"/>
          <w:szCs w:val="20"/>
          <w:lang w:eastAsia="en-GB"/>
        </w:rPr>
        <w:t>currently undrawn</w:t>
      </w:r>
      <w:r>
        <w:rPr>
          <w:rFonts w:ascii="Arial" w:eastAsia="Times New Roman" w:hAnsi="Arial" w:cs="Arial"/>
          <w:color w:val="000000"/>
          <w:sz w:val="20"/>
          <w:szCs w:val="20"/>
          <w:lang w:eastAsia="en-GB"/>
        </w:rPr>
        <w:t>.</w:t>
      </w:r>
    </w:p>
    <w:p w14:paraId="634D361B" w14:textId="1B5FFFA1" w:rsidR="00C563A6" w:rsidRDefault="00C563A6" w:rsidP="002959ED">
      <w:pPr>
        <w:jc w:val="both"/>
        <w:rPr>
          <w:rFonts w:ascii="Arial" w:hAnsi="Arial" w:cs="Arial"/>
          <w:sz w:val="20"/>
          <w:szCs w:val="20"/>
        </w:rPr>
      </w:pPr>
    </w:p>
    <w:p w14:paraId="59A59F2E" w14:textId="6124FEBB" w:rsidR="00B45633" w:rsidRPr="000B13F3" w:rsidRDefault="00B45633" w:rsidP="002959ED">
      <w:pPr>
        <w:jc w:val="both"/>
        <w:rPr>
          <w:rFonts w:ascii="Arial" w:hAnsi="Arial" w:cs="Arial"/>
          <w:sz w:val="20"/>
          <w:szCs w:val="20"/>
        </w:rPr>
      </w:pPr>
      <w:r w:rsidRPr="000B13F3">
        <w:rPr>
          <w:rFonts w:ascii="Arial" w:hAnsi="Arial" w:cs="Arial"/>
          <w:b/>
          <w:bCs/>
          <w:sz w:val="20"/>
          <w:szCs w:val="20"/>
        </w:rPr>
        <w:t>Key Performance Indicators (‘KPIs’)</w:t>
      </w:r>
      <w:r w:rsidRPr="000B13F3">
        <w:rPr>
          <w:rFonts w:ascii="Arial" w:hAnsi="Arial" w:cs="Arial"/>
          <w:sz w:val="20"/>
          <w:szCs w:val="20"/>
        </w:rPr>
        <w:t xml:space="preserve"> </w:t>
      </w:r>
    </w:p>
    <w:p w14:paraId="0F0807E6" w14:textId="5FA56505" w:rsidR="00B90303" w:rsidRPr="004E3583" w:rsidRDefault="002959ED" w:rsidP="004E3583">
      <w:pPr>
        <w:jc w:val="both"/>
        <w:rPr>
          <w:rFonts w:ascii="Arial" w:hAnsi="Arial" w:cs="Arial"/>
          <w:sz w:val="20"/>
          <w:szCs w:val="20"/>
        </w:rPr>
      </w:pPr>
      <w:r w:rsidRPr="000B13F3">
        <w:rPr>
          <w:rFonts w:ascii="Arial" w:hAnsi="Arial" w:cs="Arial"/>
          <w:sz w:val="20"/>
          <w:szCs w:val="20"/>
        </w:rPr>
        <w:t xml:space="preserve">The Group uses many different KPIs at an operational level which are specific to the business and provide information to management. The Board uses KPIs that focus on the financial performance of the Group such as revenue, adjusted EBITDA, </w:t>
      </w:r>
      <w:r w:rsidR="002A3608" w:rsidRPr="000B13F3">
        <w:rPr>
          <w:rFonts w:ascii="Arial" w:hAnsi="Arial" w:cs="Arial"/>
          <w:sz w:val="20"/>
          <w:szCs w:val="20"/>
        </w:rPr>
        <w:t>adjusted EPS and net cash generated from operations.</w:t>
      </w:r>
      <w:bookmarkEnd w:id="3"/>
      <w:bookmarkEnd w:id="4"/>
    </w:p>
    <w:p w14:paraId="4223B67B"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6F1C61CD"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2EE0DC80"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0377EB0D"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2A810F51"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343555BE"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7D272027"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610978F8"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4372A539"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20396176"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545CB8F8"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0430D86A"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60EB1793"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35F43DAA" w14:textId="77777777" w:rsidR="00B90303" w:rsidRPr="009C64CC" w:rsidRDefault="00B90303" w:rsidP="00B90303">
      <w:pPr>
        <w:spacing w:after="0"/>
        <w:jc w:val="both"/>
        <w:rPr>
          <w:rFonts w:ascii="Arial" w:eastAsia="Times New Roman" w:hAnsi="Arial" w:cs="Arial"/>
          <w:b/>
          <w:bCs/>
          <w:sz w:val="20"/>
          <w:szCs w:val="20"/>
          <w:highlight w:val="yellow"/>
          <w:lang w:eastAsia="en-GB"/>
        </w:rPr>
      </w:pPr>
    </w:p>
    <w:p w14:paraId="442338CC" w14:textId="77777777" w:rsidR="008A1149" w:rsidRDefault="008A1149" w:rsidP="008C676E">
      <w:pPr>
        <w:spacing w:after="0" w:line="240" w:lineRule="auto"/>
        <w:jc w:val="both"/>
        <w:rPr>
          <w:rFonts w:ascii="Arial" w:eastAsia="Times New Roman" w:hAnsi="Arial" w:cs="Arial"/>
          <w:b/>
          <w:bCs/>
          <w:sz w:val="20"/>
          <w:szCs w:val="20"/>
          <w:lang w:eastAsia="en-GB"/>
        </w:rPr>
      </w:pPr>
    </w:p>
    <w:p w14:paraId="5F48F73A" w14:textId="77777777" w:rsidR="008A1149" w:rsidRDefault="008A1149" w:rsidP="008C676E">
      <w:pPr>
        <w:spacing w:after="0" w:line="240" w:lineRule="auto"/>
        <w:jc w:val="both"/>
        <w:rPr>
          <w:rFonts w:ascii="Arial" w:eastAsia="Times New Roman" w:hAnsi="Arial" w:cs="Arial"/>
          <w:b/>
          <w:bCs/>
          <w:sz w:val="20"/>
          <w:szCs w:val="20"/>
          <w:lang w:eastAsia="en-GB"/>
        </w:rPr>
      </w:pPr>
    </w:p>
    <w:p w14:paraId="61E137FE" w14:textId="77777777" w:rsidR="00F7782D" w:rsidRDefault="00F7782D" w:rsidP="008C676E">
      <w:pPr>
        <w:spacing w:after="0" w:line="240" w:lineRule="auto"/>
        <w:jc w:val="both"/>
        <w:rPr>
          <w:rFonts w:ascii="Arial" w:eastAsia="Times New Roman" w:hAnsi="Arial" w:cs="Arial"/>
          <w:b/>
          <w:bCs/>
          <w:sz w:val="20"/>
          <w:szCs w:val="20"/>
          <w:lang w:eastAsia="en-GB"/>
        </w:rPr>
      </w:pPr>
    </w:p>
    <w:p w14:paraId="1209B8C7" w14:textId="77777777" w:rsidR="00F7782D" w:rsidRDefault="00F7782D" w:rsidP="008C676E">
      <w:pPr>
        <w:spacing w:after="0" w:line="240" w:lineRule="auto"/>
        <w:jc w:val="both"/>
        <w:rPr>
          <w:rFonts w:ascii="Arial" w:eastAsia="Times New Roman" w:hAnsi="Arial" w:cs="Arial"/>
          <w:b/>
          <w:bCs/>
          <w:sz w:val="20"/>
          <w:szCs w:val="20"/>
          <w:lang w:eastAsia="en-GB"/>
        </w:rPr>
      </w:pPr>
    </w:p>
    <w:p w14:paraId="045A5E33" w14:textId="77777777" w:rsidR="00F7782D" w:rsidRDefault="00F7782D" w:rsidP="008C676E">
      <w:pPr>
        <w:spacing w:after="0" w:line="240" w:lineRule="auto"/>
        <w:jc w:val="both"/>
        <w:rPr>
          <w:rFonts w:ascii="Arial" w:eastAsia="Times New Roman" w:hAnsi="Arial" w:cs="Arial"/>
          <w:b/>
          <w:bCs/>
          <w:sz w:val="20"/>
          <w:szCs w:val="20"/>
          <w:lang w:eastAsia="en-GB"/>
        </w:rPr>
      </w:pPr>
    </w:p>
    <w:p w14:paraId="7C5FDD1A" w14:textId="77777777" w:rsidR="00F7782D" w:rsidRDefault="00F7782D" w:rsidP="008C676E">
      <w:pPr>
        <w:spacing w:after="0" w:line="240" w:lineRule="auto"/>
        <w:jc w:val="both"/>
        <w:rPr>
          <w:rFonts w:ascii="Arial" w:eastAsia="Times New Roman" w:hAnsi="Arial" w:cs="Arial"/>
          <w:b/>
          <w:bCs/>
          <w:sz w:val="20"/>
          <w:szCs w:val="20"/>
          <w:lang w:eastAsia="en-GB"/>
        </w:rPr>
      </w:pPr>
    </w:p>
    <w:p w14:paraId="52854ADF" w14:textId="77777777" w:rsidR="00F7782D" w:rsidRDefault="00F7782D" w:rsidP="008C676E">
      <w:pPr>
        <w:spacing w:after="0" w:line="240" w:lineRule="auto"/>
        <w:jc w:val="both"/>
        <w:rPr>
          <w:rFonts w:ascii="Arial" w:eastAsia="Times New Roman" w:hAnsi="Arial" w:cs="Arial"/>
          <w:b/>
          <w:bCs/>
          <w:sz w:val="20"/>
          <w:szCs w:val="20"/>
          <w:lang w:eastAsia="en-GB"/>
        </w:rPr>
      </w:pPr>
    </w:p>
    <w:p w14:paraId="5D9F6AC4" w14:textId="77777777" w:rsidR="00F7782D" w:rsidRDefault="00F7782D" w:rsidP="008C676E">
      <w:pPr>
        <w:spacing w:after="0" w:line="240" w:lineRule="auto"/>
        <w:jc w:val="both"/>
        <w:rPr>
          <w:rFonts w:ascii="Arial" w:eastAsia="Times New Roman" w:hAnsi="Arial" w:cs="Arial"/>
          <w:b/>
          <w:bCs/>
          <w:sz w:val="20"/>
          <w:szCs w:val="20"/>
          <w:lang w:eastAsia="en-GB"/>
        </w:rPr>
      </w:pPr>
    </w:p>
    <w:p w14:paraId="7B2206F9" w14:textId="77777777" w:rsidR="00F7782D" w:rsidRDefault="00F7782D" w:rsidP="008C676E">
      <w:pPr>
        <w:spacing w:after="0" w:line="240" w:lineRule="auto"/>
        <w:jc w:val="both"/>
        <w:rPr>
          <w:rFonts w:ascii="Arial" w:eastAsia="Times New Roman" w:hAnsi="Arial" w:cs="Arial"/>
          <w:b/>
          <w:bCs/>
          <w:sz w:val="20"/>
          <w:szCs w:val="20"/>
          <w:lang w:eastAsia="en-GB"/>
        </w:rPr>
      </w:pPr>
    </w:p>
    <w:p w14:paraId="554C8670" w14:textId="77777777" w:rsidR="00F7782D" w:rsidRDefault="00F7782D" w:rsidP="008C676E">
      <w:pPr>
        <w:spacing w:after="0" w:line="240" w:lineRule="auto"/>
        <w:jc w:val="both"/>
        <w:rPr>
          <w:rFonts w:ascii="Arial" w:eastAsia="Times New Roman" w:hAnsi="Arial" w:cs="Arial"/>
          <w:b/>
          <w:bCs/>
          <w:sz w:val="20"/>
          <w:szCs w:val="20"/>
          <w:lang w:eastAsia="en-GB"/>
        </w:rPr>
      </w:pPr>
    </w:p>
    <w:p w14:paraId="4CD5ABE9" w14:textId="77777777" w:rsidR="00F7782D" w:rsidRDefault="00F7782D" w:rsidP="008C676E">
      <w:pPr>
        <w:spacing w:after="0" w:line="240" w:lineRule="auto"/>
        <w:jc w:val="both"/>
        <w:rPr>
          <w:rFonts w:ascii="Arial" w:eastAsia="Times New Roman" w:hAnsi="Arial" w:cs="Arial"/>
          <w:b/>
          <w:bCs/>
          <w:sz w:val="20"/>
          <w:szCs w:val="20"/>
          <w:lang w:eastAsia="en-GB"/>
        </w:rPr>
      </w:pPr>
    </w:p>
    <w:p w14:paraId="39B3A7CF" w14:textId="77777777" w:rsidR="00F7782D" w:rsidRDefault="00F7782D" w:rsidP="008C676E">
      <w:pPr>
        <w:spacing w:after="0" w:line="240" w:lineRule="auto"/>
        <w:jc w:val="both"/>
        <w:rPr>
          <w:rFonts w:ascii="Arial" w:eastAsia="Times New Roman" w:hAnsi="Arial" w:cs="Arial"/>
          <w:b/>
          <w:bCs/>
          <w:sz w:val="20"/>
          <w:szCs w:val="20"/>
          <w:lang w:eastAsia="en-GB"/>
        </w:rPr>
      </w:pPr>
    </w:p>
    <w:p w14:paraId="02CE1D36" w14:textId="77777777" w:rsidR="00F7782D" w:rsidRDefault="00F7782D" w:rsidP="008C676E">
      <w:pPr>
        <w:spacing w:after="0" w:line="240" w:lineRule="auto"/>
        <w:jc w:val="both"/>
        <w:rPr>
          <w:rFonts w:ascii="Arial" w:eastAsia="Times New Roman" w:hAnsi="Arial" w:cs="Arial"/>
          <w:b/>
          <w:bCs/>
          <w:sz w:val="20"/>
          <w:szCs w:val="20"/>
          <w:lang w:eastAsia="en-GB"/>
        </w:rPr>
      </w:pPr>
    </w:p>
    <w:p w14:paraId="6C9F7729" w14:textId="77777777" w:rsidR="00F7782D" w:rsidRDefault="00F7782D" w:rsidP="008C676E">
      <w:pPr>
        <w:spacing w:after="0" w:line="240" w:lineRule="auto"/>
        <w:jc w:val="both"/>
        <w:rPr>
          <w:rFonts w:ascii="Arial" w:eastAsia="Times New Roman" w:hAnsi="Arial" w:cs="Arial"/>
          <w:b/>
          <w:bCs/>
          <w:sz w:val="20"/>
          <w:szCs w:val="20"/>
          <w:lang w:eastAsia="en-GB"/>
        </w:rPr>
      </w:pPr>
    </w:p>
    <w:p w14:paraId="4B273738" w14:textId="77777777" w:rsidR="0051500E" w:rsidRDefault="0051500E" w:rsidP="008C676E">
      <w:pPr>
        <w:spacing w:after="0" w:line="240" w:lineRule="auto"/>
        <w:jc w:val="both"/>
        <w:rPr>
          <w:rFonts w:ascii="Arial" w:eastAsia="Times New Roman" w:hAnsi="Arial" w:cs="Arial"/>
          <w:b/>
          <w:bCs/>
          <w:sz w:val="20"/>
          <w:szCs w:val="20"/>
          <w:lang w:eastAsia="en-GB"/>
        </w:rPr>
      </w:pPr>
    </w:p>
    <w:p w14:paraId="50605015" w14:textId="77777777" w:rsidR="00F7782D" w:rsidRDefault="00F7782D" w:rsidP="008C676E">
      <w:pPr>
        <w:spacing w:after="0" w:line="240" w:lineRule="auto"/>
        <w:jc w:val="both"/>
        <w:rPr>
          <w:rFonts w:ascii="Arial" w:eastAsia="Times New Roman" w:hAnsi="Arial" w:cs="Arial"/>
          <w:b/>
          <w:bCs/>
          <w:sz w:val="20"/>
          <w:szCs w:val="20"/>
          <w:lang w:eastAsia="en-GB"/>
        </w:rPr>
      </w:pPr>
    </w:p>
    <w:p w14:paraId="51C582EE" w14:textId="77777777" w:rsidR="00F7782D" w:rsidRDefault="00F7782D" w:rsidP="008C676E">
      <w:pPr>
        <w:spacing w:after="0" w:line="240" w:lineRule="auto"/>
        <w:jc w:val="both"/>
        <w:rPr>
          <w:rFonts w:ascii="Arial" w:eastAsia="Times New Roman" w:hAnsi="Arial" w:cs="Arial"/>
          <w:b/>
          <w:bCs/>
          <w:sz w:val="20"/>
          <w:szCs w:val="20"/>
          <w:lang w:eastAsia="en-GB"/>
        </w:rPr>
      </w:pPr>
    </w:p>
    <w:p w14:paraId="275122BD" w14:textId="77777777" w:rsidR="00F7782D" w:rsidRDefault="00F7782D" w:rsidP="008C676E">
      <w:pPr>
        <w:spacing w:after="0" w:line="240" w:lineRule="auto"/>
        <w:jc w:val="both"/>
        <w:rPr>
          <w:rFonts w:ascii="Arial" w:eastAsia="Times New Roman" w:hAnsi="Arial" w:cs="Arial"/>
          <w:b/>
          <w:bCs/>
          <w:sz w:val="20"/>
          <w:szCs w:val="20"/>
          <w:lang w:eastAsia="en-GB"/>
        </w:rPr>
      </w:pPr>
    </w:p>
    <w:p w14:paraId="491D9D1C" w14:textId="77777777" w:rsidR="00F7782D" w:rsidRDefault="00F7782D" w:rsidP="008C676E">
      <w:pPr>
        <w:spacing w:after="0" w:line="240" w:lineRule="auto"/>
        <w:jc w:val="both"/>
        <w:rPr>
          <w:rFonts w:ascii="Arial" w:eastAsia="Times New Roman" w:hAnsi="Arial" w:cs="Arial"/>
          <w:b/>
          <w:bCs/>
          <w:sz w:val="20"/>
          <w:szCs w:val="20"/>
          <w:lang w:eastAsia="en-GB"/>
        </w:rPr>
      </w:pPr>
    </w:p>
    <w:p w14:paraId="34992650" w14:textId="77777777" w:rsidR="008A1149" w:rsidRDefault="008A1149" w:rsidP="008C676E">
      <w:pPr>
        <w:spacing w:after="0" w:line="240" w:lineRule="auto"/>
        <w:jc w:val="both"/>
        <w:rPr>
          <w:rFonts w:ascii="Arial" w:eastAsia="Times New Roman" w:hAnsi="Arial" w:cs="Arial"/>
          <w:b/>
          <w:bCs/>
          <w:sz w:val="20"/>
          <w:szCs w:val="20"/>
          <w:lang w:eastAsia="en-GB"/>
        </w:rPr>
      </w:pPr>
    </w:p>
    <w:p w14:paraId="58195C0C" w14:textId="77777777" w:rsidR="00023130" w:rsidRDefault="00023130" w:rsidP="008C676E">
      <w:pPr>
        <w:spacing w:after="0" w:line="240" w:lineRule="auto"/>
        <w:jc w:val="both"/>
        <w:rPr>
          <w:rFonts w:ascii="Arial" w:eastAsia="Times New Roman" w:hAnsi="Arial" w:cs="Arial"/>
          <w:b/>
          <w:bCs/>
          <w:sz w:val="20"/>
          <w:szCs w:val="20"/>
          <w:lang w:eastAsia="en-GB"/>
        </w:rPr>
      </w:pPr>
    </w:p>
    <w:p w14:paraId="218947F9" w14:textId="0E36E17A" w:rsidR="008A1149" w:rsidRDefault="00D01DDA" w:rsidP="008C676E">
      <w:pPr>
        <w:spacing w:after="0" w:line="240" w:lineRule="auto"/>
        <w:jc w:val="both"/>
        <w:rPr>
          <w:rFonts w:ascii="Arial" w:eastAsia="Times New Roman" w:hAnsi="Arial" w:cs="Arial"/>
          <w:sz w:val="32"/>
          <w:szCs w:val="32"/>
          <w:lang w:eastAsia="en-GB"/>
        </w:rPr>
      </w:pPr>
      <w:r>
        <w:rPr>
          <w:rFonts w:ascii="Arial" w:eastAsia="Times New Roman" w:hAnsi="Arial" w:cs="Arial"/>
          <w:sz w:val="32"/>
          <w:szCs w:val="32"/>
          <w:lang w:eastAsia="en-GB"/>
        </w:rPr>
        <w:lastRenderedPageBreak/>
        <w:t>Unaudited c</w:t>
      </w:r>
      <w:r w:rsidR="008C676E">
        <w:rPr>
          <w:rFonts w:ascii="Arial" w:eastAsia="Times New Roman" w:hAnsi="Arial" w:cs="Arial"/>
          <w:sz w:val="32"/>
          <w:szCs w:val="32"/>
          <w:lang w:eastAsia="en-GB"/>
        </w:rPr>
        <w:t>onsolidated statement of comprehensive income</w:t>
      </w:r>
    </w:p>
    <w:p w14:paraId="1297048F" w14:textId="6A74B1E6" w:rsidR="008C676E" w:rsidRDefault="008C676E" w:rsidP="008C676E">
      <w:pPr>
        <w:spacing w:after="0" w:line="240" w:lineRule="auto"/>
        <w:jc w:val="both"/>
        <w:rPr>
          <w:rFonts w:ascii="Arial" w:eastAsia="Times New Roman" w:hAnsi="Arial" w:cs="Arial"/>
          <w:sz w:val="20"/>
          <w:szCs w:val="20"/>
          <w:lang w:eastAsia="en-GB"/>
        </w:rPr>
      </w:pPr>
    </w:p>
    <w:p w14:paraId="4696A0E4" w14:textId="77777777" w:rsidR="008C676E" w:rsidRDefault="008C676E" w:rsidP="008C676E">
      <w:pPr>
        <w:spacing w:after="0"/>
        <w:jc w:val="both"/>
        <w:rPr>
          <w:rFonts w:ascii="Arial" w:eastAsia="Times New Roman" w:hAnsi="Arial" w:cs="Arial"/>
          <w:sz w:val="20"/>
          <w:szCs w:val="20"/>
          <w:lang w:eastAsia="en-GB"/>
        </w:rPr>
      </w:pPr>
      <w:r>
        <w:rPr>
          <w:rFonts w:ascii="Arial" w:eastAsia="Times New Roman" w:hAnsi="Arial" w:cs="Arial"/>
          <w:sz w:val="20"/>
          <w:szCs w:val="20"/>
          <w:lang w:eastAsia="en-GB"/>
        </w:rPr>
        <w:t>For the year ended 31 March 2024</w:t>
      </w:r>
    </w:p>
    <w:p w14:paraId="1BA7147C" w14:textId="77777777" w:rsidR="008C676E" w:rsidRDefault="008C676E" w:rsidP="008C676E">
      <w:pPr>
        <w:spacing w:after="0"/>
        <w:jc w:val="both"/>
        <w:rPr>
          <w:rFonts w:ascii="Arial" w:eastAsia="Times New Roman" w:hAnsi="Arial" w:cs="Arial"/>
          <w:sz w:val="20"/>
          <w:szCs w:val="20"/>
          <w:lang w:eastAsia="en-GB"/>
        </w:rPr>
      </w:pPr>
    </w:p>
    <w:tbl>
      <w:tblPr>
        <w:tblW w:w="9750" w:type="dxa"/>
        <w:tblLayout w:type="fixed"/>
        <w:tblLook w:val="04A0" w:firstRow="1" w:lastRow="0" w:firstColumn="1" w:lastColumn="0" w:noHBand="0" w:noVBand="1"/>
      </w:tblPr>
      <w:tblGrid>
        <w:gridCol w:w="2412"/>
        <w:gridCol w:w="709"/>
        <w:gridCol w:w="1104"/>
        <w:gridCol w:w="1307"/>
        <w:gridCol w:w="903"/>
        <w:gridCol w:w="1105"/>
        <w:gridCol w:w="1253"/>
        <w:gridCol w:w="957"/>
      </w:tblGrid>
      <w:tr w:rsidR="008C676E" w14:paraId="4EB73378" w14:textId="77777777" w:rsidTr="008C676E">
        <w:trPr>
          <w:trHeight w:val="283"/>
        </w:trPr>
        <w:tc>
          <w:tcPr>
            <w:tcW w:w="2410" w:type="dxa"/>
            <w:tcBorders>
              <w:top w:val="nil"/>
              <w:left w:val="nil"/>
              <w:bottom w:val="single" w:sz="4" w:space="0" w:color="auto"/>
              <w:right w:val="nil"/>
            </w:tcBorders>
            <w:noWrap/>
            <w:vAlign w:val="bottom"/>
          </w:tcPr>
          <w:p w14:paraId="73C9A1B9" w14:textId="77777777" w:rsidR="008C676E" w:rsidRDefault="008C676E">
            <w:pPr>
              <w:spacing w:after="0" w:line="240" w:lineRule="auto"/>
              <w:jc w:val="right"/>
              <w:rPr>
                <w:rFonts w:ascii="Arial" w:eastAsia="Times New Roman" w:hAnsi="Arial" w:cs="Arial"/>
                <w:sz w:val="16"/>
                <w:szCs w:val="16"/>
                <w:lang w:eastAsia="en-GB"/>
              </w:rPr>
            </w:pPr>
          </w:p>
        </w:tc>
        <w:tc>
          <w:tcPr>
            <w:tcW w:w="709" w:type="dxa"/>
            <w:tcBorders>
              <w:top w:val="nil"/>
              <w:left w:val="nil"/>
              <w:bottom w:val="single" w:sz="4" w:space="0" w:color="auto"/>
              <w:right w:val="nil"/>
            </w:tcBorders>
            <w:vAlign w:val="bottom"/>
          </w:tcPr>
          <w:p w14:paraId="194E3DC1" w14:textId="77777777" w:rsidR="008C676E" w:rsidRDefault="008C676E">
            <w:pPr>
              <w:spacing w:after="0" w:line="240" w:lineRule="auto"/>
              <w:jc w:val="right"/>
              <w:rPr>
                <w:rFonts w:ascii="Arial" w:eastAsia="Times New Roman" w:hAnsi="Arial" w:cs="Arial"/>
                <w:b/>
                <w:bCs/>
                <w:sz w:val="16"/>
                <w:szCs w:val="16"/>
                <w:lang w:eastAsia="en-GB"/>
              </w:rPr>
            </w:pPr>
          </w:p>
        </w:tc>
        <w:tc>
          <w:tcPr>
            <w:tcW w:w="6627" w:type="dxa"/>
            <w:gridSpan w:val="6"/>
            <w:tcBorders>
              <w:top w:val="nil"/>
              <w:left w:val="nil"/>
              <w:bottom w:val="single" w:sz="4" w:space="0" w:color="auto"/>
              <w:right w:val="nil"/>
            </w:tcBorders>
            <w:vAlign w:val="bottom"/>
            <w:hideMark/>
          </w:tcPr>
          <w:p w14:paraId="69A3DF37" w14:textId="19D9C7AF" w:rsidR="008C676E" w:rsidRDefault="008C676E" w:rsidP="00F72BA1">
            <w:pPr>
              <w:spacing w:after="0" w:line="240" w:lineRule="auto"/>
              <w:rPr>
                <w:rFonts w:ascii="Arial" w:eastAsia="Times New Roman" w:hAnsi="Arial" w:cs="Arial"/>
                <w:b/>
                <w:bCs/>
                <w:sz w:val="16"/>
                <w:szCs w:val="16"/>
                <w:lang w:eastAsia="en-GB"/>
              </w:rPr>
            </w:pPr>
          </w:p>
        </w:tc>
      </w:tr>
      <w:tr w:rsidR="008C676E" w14:paraId="7172E59F" w14:textId="77777777" w:rsidTr="008C676E">
        <w:trPr>
          <w:trHeight w:val="283"/>
        </w:trPr>
        <w:tc>
          <w:tcPr>
            <w:tcW w:w="2410" w:type="dxa"/>
            <w:tcBorders>
              <w:top w:val="nil"/>
              <w:left w:val="nil"/>
              <w:bottom w:val="single" w:sz="4" w:space="0" w:color="auto"/>
              <w:right w:val="nil"/>
            </w:tcBorders>
            <w:noWrap/>
            <w:vAlign w:val="bottom"/>
          </w:tcPr>
          <w:p w14:paraId="653E7169" w14:textId="77777777" w:rsidR="008C676E" w:rsidRDefault="008C676E">
            <w:pPr>
              <w:spacing w:after="0" w:line="240" w:lineRule="auto"/>
              <w:jc w:val="right"/>
              <w:rPr>
                <w:rFonts w:ascii="Arial" w:eastAsia="Times New Roman" w:hAnsi="Arial" w:cs="Arial"/>
                <w:sz w:val="16"/>
                <w:szCs w:val="16"/>
                <w:lang w:eastAsia="en-GB"/>
              </w:rPr>
            </w:pPr>
          </w:p>
        </w:tc>
        <w:tc>
          <w:tcPr>
            <w:tcW w:w="709" w:type="dxa"/>
            <w:tcBorders>
              <w:top w:val="nil"/>
              <w:left w:val="nil"/>
              <w:bottom w:val="single" w:sz="4" w:space="0" w:color="auto"/>
              <w:right w:val="nil"/>
            </w:tcBorders>
            <w:vAlign w:val="bottom"/>
          </w:tcPr>
          <w:p w14:paraId="2791BBC9" w14:textId="77777777" w:rsidR="008C676E" w:rsidRDefault="008C676E">
            <w:pPr>
              <w:spacing w:after="0" w:line="240" w:lineRule="auto"/>
              <w:jc w:val="right"/>
              <w:rPr>
                <w:rFonts w:ascii="Arial" w:eastAsia="Times New Roman" w:hAnsi="Arial" w:cs="Arial"/>
                <w:b/>
                <w:bCs/>
                <w:sz w:val="16"/>
                <w:szCs w:val="16"/>
                <w:lang w:eastAsia="en-GB"/>
              </w:rPr>
            </w:pPr>
          </w:p>
        </w:tc>
        <w:tc>
          <w:tcPr>
            <w:tcW w:w="1104" w:type="dxa"/>
            <w:tcBorders>
              <w:top w:val="nil"/>
              <w:left w:val="nil"/>
              <w:bottom w:val="single" w:sz="4" w:space="0" w:color="auto"/>
              <w:right w:val="nil"/>
            </w:tcBorders>
            <w:vAlign w:val="bottom"/>
          </w:tcPr>
          <w:p w14:paraId="1CDDE46A" w14:textId="77777777" w:rsidR="008C676E" w:rsidRDefault="008C676E">
            <w:pPr>
              <w:spacing w:after="0" w:line="240" w:lineRule="auto"/>
              <w:jc w:val="right"/>
              <w:rPr>
                <w:rFonts w:ascii="Arial" w:eastAsia="Times New Roman" w:hAnsi="Arial" w:cs="Arial"/>
                <w:b/>
                <w:bCs/>
                <w:sz w:val="16"/>
                <w:szCs w:val="16"/>
                <w:lang w:eastAsia="en-GB"/>
              </w:rPr>
            </w:pPr>
          </w:p>
        </w:tc>
        <w:tc>
          <w:tcPr>
            <w:tcW w:w="1306" w:type="dxa"/>
            <w:tcBorders>
              <w:top w:val="nil"/>
              <w:left w:val="nil"/>
              <w:bottom w:val="single" w:sz="4" w:space="0" w:color="auto"/>
              <w:right w:val="nil"/>
            </w:tcBorders>
            <w:shd w:val="clear" w:color="auto" w:fill="FFFFFF" w:themeFill="background1"/>
            <w:vAlign w:val="bottom"/>
          </w:tcPr>
          <w:p w14:paraId="07907A8C" w14:textId="77777777" w:rsidR="008C676E" w:rsidRDefault="008C676E">
            <w:pPr>
              <w:spacing w:after="0" w:line="240" w:lineRule="auto"/>
              <w:jc w:val="right"/>
              <w:rPr>
                <w:rFonts w:ascii="Arial" w:eastAsia="Times New Roman" w:hAnsi="Arial" w:cs="Arial"/>
                <w:b/>
                <w:bCs/>
                <w:sz w:val="16"/>
                <w:szCs w:val="16"/>
                <w:lang w:eastAsia="en-GB"/>
              </w:rPr>
            </w:pPr>
          </w:p>
        </w:tc>
        <w:tc>
          <w:tcPr>
            <w:tcW w:w="903" w:type="dxa"/>
            <w:tcBorders>
              <w:top w:val="nil"/>
              <w:left w:val="nil"/>
              <w:bottom w:val="single" w:sz="4" w:space="0" w:color="auto"/>
              <w:right w:val="nil"/>
            </w:tcBorders>
            <w:shd w:val="clear" w:color="auto" w:fill="FFFFFF" w:themeFill="background1"/>
            <w:vAlign w:val="bottom"/>
            <w:hideMark/>
          </w:tcPr>
          <w:p w14:paraId="4CB9FDA3"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2024</w:t>
            </w:r>
          </w:p>
        </w:tc>
        <w:tc>
          <w:tcPr>
            <w:tcW w:w="1105" w:type="dxa"/>
            <w:tcBorders>
              <w:top w:val="nil"/>
              <w:left w:val="nil"/>
              <w:bottom w:val="single" w:sz="4" w:space="0" w:color="auto"/>
              <w:right w:val="nil"/>
            </w:tcBorders>
            <w:shd w:val="clear" w:color="auto" w:fill="FFFFFF" w:themeFill="background1"/>
            <w:vAlign w:val="bottom"/>
          </w:tcPr>
          <w:p w14:paraId="16443993" w14:textId="77777777" w:rsidR="008C676E" w:rsidRDefault="008C676E">
            <w:pPr>
              <w:spacing w:after="0" w:line="240" w:lineRule="auto"/>
              <w:jc w:val="right"/>
              <w:rPr>
                <w:rFonts w:ascii="Arial" w:eastAsia="Times New Roman" w:hAnsi="Arial" w:cs="Arial"/>
                <w:b/>
                <w:bCs/>
                <w:sz w:val="16"/>
                <w:szCs w:val="16"/>
                <w:lang w:eastAsia="en-GB"/>
              </w:rPr>
            </w:pPr>
          </w:p>
        </w:tc>
        <w:tc>
          <w:tcPr>
            <w:tcW w:w="1252" w:type="dxa"/>
            <w:tcBorders>
              <w:top w:val="nil"/>
              <w:left w:val="nil"/>
              <w:bottom w:val="single" w:sz="4" w:space="0" w:color="auto"/>
              <w:right w:val="nil"/>
            </w:tcBorders>
            <w:shd w:val="clear" w:color="auto" w:fill="FFFFFF" w:themeFill="background1"/>
            <w:vAlign w:val="bottom"/>
          </w:tcPr>
          <w:p w14:paraId="52616A55" w14:textId="77777777" w:rsidR="008C676E" w:rsidRDefault="008C676E">
            <w:pPr>
              <w:spacing w:after="0" w:line="240" w:lineRule="auto"/>
              <w:jc w:val="right"/>
              <w:rPr>
                <w:rFonts w:ascii="Arial" w:eastAsia="Times New Roman" w:hAnsi="Arial" w:cs="Arial"/>
                <w:b/>
                <w:bCs/>
                <w:sz w:val="16"/>
                <w:szCs w:val="16"/>
                <w:lang w:eastAsia="en-GB"/>
              </w:rPr>
            </w:pPr>
          </w:p>
        </w:tc>
        <w:tc>
          <w:tcPr>
            <w:tcW w:w="957" w:type="dxa"/>
            <w:tcBorders>
              <w:top w:val="nil"/>
              <w:left w:val="nil"/>
              <w:bottom w:val="single" w:sz="4" w:space="0" w:color="auto"/>
              <w:right w:val="nil"/>
            </w:tcBorders>
            <w:shd w:val="clear" w:color="auto" w:fill="FFFFFF" w:themeFill="background1"/>
            <w:vAlign w:val="bottom"/>
            <w:hideMark/>
          </w:tcPr>
          <w:p w14:paraId="7E3925FA"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2023</w:t>
            </w:r>
          </w:p>
        </w:tc>
      </w:tr>
      <w:tr w:rsidR="008C676E" w14:paraId="75F89D27" w14:textId="77777777" w:rsidTr="008C676E">
        <w:trPr>
          <w:trHeight w:val="283"/>
        </w:trPr>
        <w:tc>
          <w:tcPr>
            <w:tcW w:w="2410" w:type="dxa"/>
            <w:tcBorders>
              <w:top w:val="single" w:sz="4" w:space="0" w:color="auto"/>
              <w:left w:val="nil"/>
              <w:bottom w:val="nil"/>
              <w:right w:val="nil"/>
            </w:tcBorders>
            <w:noWrap/>
            <w:vAlign w:val="bottom"/>
            <w:hideMark/>
          </w:tcPr>
          <w:p w14:paraId="5FE00410" w14:textId="77777777" w:rsidR="008C676E" w:rsidRDefault="008C676E">
            <w:pPr>
              <w:rPr>
                <w:rFonts w:ascii="Arial" w:eastAsia="Times New Roman" w:hAnsi="Arial" w:cs="Arial"/>
                <w:b/>
                <w:bCs/>
                <w:sz w:val="16"/>
                <w:szCs w:val="16"/>
                <w:lang w:eastAsia="en-GB"/>
              </w:rPr>
            </w:pPr>
          </w:p>
        </w:tc>
        <w:tc>
          <w:tcPr>
            <w:tcW w:w="709" w:type="dxa"/>
            <w:tcBorders>
              <w:top w:val="single" w:sz="4" w:space="0" w:color="auto"/>
              <w:left w:val="nil"/>
              <w:bottom w:val="nil"/>
              <w:right w:val="nil"/>
            </w:tcBorders>
            <w:vAlign w:val="bottom"/>
            <w:hideMark/>
          </w:tcPr>
          <w:p w14:paraId="3008CB08" w14:textId="77777777" w:rsidR="008C676E" w:rsidRDefault="008C676E">
            <w:pPr>
              <w:spacing w:after="0" w:line="240" w:lineRule="auto"/>
              <w:jc w:val="center"/>
              <w:rPr>
                <w:rFonts w:ascii="Arial" w:eastAsia="Times New Roman" w:hAnsi="Arial" w:cs="Arial"/>
                <w:b/>
                <w:bCs/>
                <w:sz w:val="16"/>
                <w:szCs w:val="16"/>
                <w:lang w:eastAsia="en-GB"/>
              </w:rPr>
            </w:pPr>
            <w:r>
              <w:rPr>
                <w:rFonts w:ascii="Arial" w:eastAsia="Times New Roman" w:hAnsi="Arial" w:cs="Arial"/>
                <w:b/>
                <w:bCs/>
                <w:sz w:val="16"/>
                <w:szCs w:val="16"/>
                <w:lang w:eastAsia="en-GB"/>
              </w:rPr>
              <w:t>Note</w:t>
            </w:r>
          </w:p>
        </w:tc>
        <w:tc>
          <w:tcPr>
            <w:tcW w:w="1104" w:type="dxa"/>
            <w:tcBorders>
              <w:top w:val="single" w:sz="4" w:space="0" w:color="auto"/>
              <w:left w:val="nil"/>
              <w:bottom w:val="nil"/>
              <w:right w:val="nil"/>
            </w:tcBorders>
            <w:vAlign w:val="bottom"/>
            <w:hideMark/>
          </w:tcPr>
          <w:p w14:paraId="5C61B6FD"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Continuing operations</w:t>
            </w:r>
          </w:p>
        </w:tc>
        <w:tc>
          <w:tcPr>
            <w:tcW w:w="1306" w:type="dxa"/>
            <w:tcBorders>
              <w:top w:val="single" w:sz="4" w:space="0" w:color="auto"/>
              <w:left w:val="nil"/>
              <w:bottom w:val="nil"/>
              <w:right w:val="nil"/>
            </w:tcBorders>
            <w:shd w:val="clear" w:color="auto" w:fill="FFFFFF" w:themeFill="background1"/>
            <w:vAlign w:val="bottom"/>
            <w:hideMark/>
          </w:tcPr>
          <w:p w14:paraId="2BB5F3E2"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Discontinued operations</w:t>
            </w:r>
          </w:p>
        </w:tc>
        <w:tc>
          <w:tcPr>
            <w:tcW w:w="903" w:type="dxa"/>
            <w:tcBorders>
              <w:top w:val="single" w:sz="4" w:space="0" w:color="auto"/>
              <w:left w:val="nil"/>
              <w:bottom w:val="nil"/>
              <w:right w:val="nil"/>
            </w:tcBorders>
            <w:shd w:val="clear" w:color="auto" w:fill="FFFFFF" w:themeFill="background1"/>
            <w:vAlign w:val="bottom"/>
            <w:hideMark/>
          </w:tcPr>
          <w:p w14:paraId="7E59F51F"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Total</w:t>
            </w:r>
          </w:p>
        </w:tc>
        <w:tc>
          <w:tcPr>
            <w:tcW w:w="1105" w:type="dxa"/>
            <w:tcBorders>
              <w:top w:val="single" w:sz="4" w:space="0" w:color="auto"/>
              <w:left w:val="nil"/>
              <w:bottom w:val="nil"/>
              <w:right w:val="nil"/>
            </w:tcBorders>
            <w:shd w:val="clear" w:color="auto" w:fill="FFFFFF" w:themeFill="background1"/>
            <w:vAlign w:val="bottom"/>
            <w:hideMark/>
          </w:tcPr>
          <w:p w14:paraId="5C1DA62A"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Continuing Operations</w:t>
            </w:r>
          </w:p>
        </w:tc>
        <w:tc>
          <w:tcPr>
            <w:tcW w:w="1252" w:type="dxa"/>
            <w:tcBorders>
              <w:top w:val="single" w:sz="4" w:space="0" w:color="auto"/>
              <w:left w:val="nil"/>
              <w:bottom w:val="nil"/>
              <w:right w:val="nil"/>
            </w:tcBorders>
            <w:shd w:val="clear" w:color="auto" w:fill="FFFFFF" w:themeFill="background1"/>
            <w:vAlign w:val="bottom"/>
            <w:hideMark/>
          </w:tcPr>
          <w:p w14:paraId="787C757E"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Discontinued operations</w:t>
            </w:r>
          </w:p>
        </w:tc>
        <w:tc>
          <w:tcPr>
            <w:tcW w:w="957" w:type="dxa"/>
            <w:tcBorders>
              <w:top w:val="single" w:sz="4" w:space="0" w:color="auto"/>
              <w:left w:val="nil"/>
              <w:bottom w:val="nil"/>
              <w:right w:val="nil"/>
            </w:tcBorders>
            <w:shd w:val="clear" w:color="auto" w:fill="FFFFFF" w:themeFill="background1"/>
            <w:vAlign w:val="bottom"/>
            <w:hideMark/>
          </w:tcPr>
          <w:p w14:paraId="59B4539D"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Total</w:t>
            </w:r>
          </w:p>
        </w:tc>
      </w:tr>
      <w:tr w:rsidR="008C676E" w14:paraId="5C5CB548" w14:textId="77777777" w:rsidTr="008C676E">
        <w:trPr>
          <w:trHeight w:val="283"/>
        </w:trPr>
        <w:tc>
          <w:tcPr>
            <w:tcW w:w="2410" w:type="dxa"/>
            <w:tcBorders>
              <w:top w:val="nil"/>
              <w:left w:val="nil"/>
              <w:bottom w:val="single" w:sz="4" w:space="0" w:color="auto"/>
              <w:right w:val="nil"/>
            </w:tcBorders>
            <w:noWrap/>
            <w:vAlign w:val="bottom"/>
          </w:tcPr>
          <w:p w14:paraId="5DB1C951" w14:textId="77777777" w:rsidR="008C676E" w:rsidRDefault="008C676E">
            <w:pPr>
              <w:spacing w:after="0" w:line="240" w:lineRule="auto"/>
              <w:jc w:val="right"/>
              <w:rPr>
                <w:rFonts w:ascii="Arial" w:eastAsia="Times New Roman" w:hAnsi="Arial" w:cs="Arial"/>
                <w:sz w:val="16"/>
                <w:szCs w:val="16"/>
                <w:lang w:eastAsia="en-GB"/>
              </w:rPr>
            </w:pPr>
          </w:p>
        </w:tc>
        <w:tc>
          <w:tcPr>
            <w:tcW w:w="709" w:type="dxa"/>
            <w:tcBorders>
              <w:top w:val="nil"/>
              <w:left w:val="nil"/>
              <w:bottom w:val="single" w:sz="4" w:space="0" w:color="auto"/>
              <w:right w:val="nil"/>
            </w:tcBorders>
            <w:vAlign w:val="bottom"/>
          </w:tcPr>
          <w:p w14:paraId="088514DA" w14:textId="77777777" w:rsidR="008C676E" w:rsidRDefault="008C676E">
            <w:pPr>
              <w:spacing w:after="0" w:line="240" w:lineRule="auto"/>
              <w:jc w:val="center"/>
              <w:rPr>
                <w:rFonts w:ascii="Arial" w:eastAsia="Times New Roman" w:hAnsi="Arial" w:cs="Arial"/>
                <w:b/>
                <w:bCs/>
                <w:sz w:val="16"/>
                <w:szCs w:val="16"/>
                <w:lang w:eastAsia="en-GB"/>
              </w:rPr>
            </w:pPr>
          </w:p>
        </w:tc>
        <w:tc>
          <w:tcPr>
            <w:tcW w:w="1104" w:type="dxa"/>
            <w:tcBorders>
              <w:top w:val="nil"/>
              <w:left w:val="nil"/>
              <w:bottom w:val="single" w:sz="4" w:space="0" w:color="auto"/>
              <w:right w:val="nil"/>
            </w:tcBorders>
            <w:vAlign w:val="bottom"/>
            <w:hideMark/>
          </w:tcPr>
          <w:p w14:paraId="747D9C4D"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£’m</w:t>
            </w:r>
          </w:p>
        </w:tc>
        <w:tc>
          <w:tcPr>
            <w:tcW w:w="1306" w:type="dxa"/>
            <w:tcBorders>
              <w:top w:val="nil"/>
              <w:left w:val="nil"/>
              <w:bottom w:val="single" w:sz="4" w:space="0" w:color="auto"/>
              <w:right w:val="nil"/>
            </w:tcBorders>
            <w:shd w:val="clear" w:color="auto" w:fill="FFFFFF" w:themeFill="background1"/>
            <w:vAlign w:val="bottom"/>
            <w:hideMark/>
          </w:tcPr>
          <w:p w14:paraId="11E21D27"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£’m</w:t>
            </w:r>
          </w:p>
        </w:tc>
        <w:tc>
          <w:tcPr>
            <w:tcW w:w="903" w:type="dxa"/>
            <w:tcBorders>
              <w:top w:val="nil"/>
              <w:left w:val="nil"/>
              <w:bottom w:val="single" w:sz="4" w:space="0" w:color="auto"/>
              <w:right w:val="nil"/>
            </w:tcBorders>
            <w:shd w:val="clear" w:color="auto" w:fill="FFFFFF" w:themeFill="background1"/>
            <w:vAlign w:val="bottom"/>
            <w:hideMark/>
          </w:tcPr>
          <w:p w14:paraId="2A85194A"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£’m</w:t>
            </w:r>
          </w:p>
        </w:tc>
        <w:tc>
          <w:tcPr>
            <w:tcW w:w="1105" w:type="dxa"/>
            <w:tcBorders>
              <w:top w:val="nil"/>
              <w:left w:val="nil"/>
              <w:bottom w:val="single" w:sz="4" w:space="0" w:color="auto"/>
              <w:right w:val="nil"/>
            </w:tcBorders>
            <w:shd w:val="clear" w:color="auto" w:fill="FFFFFF" w:themeFill="background1"/>
            <w:vAlign w:val="bottom"/>
            <w:hideMark/>
          </w:tcPr>
          <w:p w14:paraId="4F280798"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£’m</w:t>
            </w:r>
          </w:p>
        </w:tc>
        <w:tc>
          <w:tcPr>
            <w:tcW w:w="1252" w:type="dxa"/>
            <w:tcBorders>
              <w:top w:val="nil"/>
              <w:left w:val="nil"/>
              <w:bottom w:val="single" w:sz="4" w:space="0" w:color="auto"/>
              <w:right w:val="nil"/>
            </w:tcBorders>
            <w:shd w:val="clear" w:color="auto" w:fill="FFFFFF" w:themeFill="background1"/>
            <w:vAlign w:val="bottom"/>
            <w:hideMark/>
          </w:tcPr>
          <w:p w14:paraId="4DB838A5"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£’m</w:t>
            </w:r>
          </w:p>
        </w:tc>
        <w:tc>
          <w:tcPr>
            <w:tcW w:w="957" w:type="dxa"/>
            <w:tcBorders>
              <w:top w:val="nil"/>
              <w:left w:val="nil"/>
              <w:bottom w:val="single" w:sz="4" w:space="0" w:color="auto"/>
              <w:right w:val="nil"/>
            </w:tcBorders>
            <w:shd w:val="clear" w:color="auto" w:fill="FFFFFF" w:themeFill="background1"/>
            <w:vAlign w:val="bottom"/>
            <w:hideMark/>
          </w:tcPr>
          <w:p w14:paraId="2F61F765"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£’m</w:t>
            </w:r>
          </w:p>
        </w:tc>
      </w:tr>
      <w:tr w:rsidR="008C676E" w14:paraId="34EDBEE2" w14:textId="77777777" w:rsidTr="008C676E">
        <w:trPr>
          <w:trHeight w:val="283"/>
        </w:trPr>
        <w:tc>
          <w:tcPr>
            <w:tcW w:w="2410" w:type="dxa"/>
            <w:tcBorders>
              <w:top w:val="single" w:sz="4" w:space="0" w:color="auto"/>
              <w:left w:val="nil"/>
              <w:bottom w:val="nil"/>
              <w:right w:val="nil"/>
            </w:tcBorders>
            <w:noWrap/>
            <w:vAlign w:val="bottom"/>
            <w:hideMark/>
          </w:tcPr>
          <w:p w14:paraId="6BA371F5"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709" w:type="dxa"/>
            <w:tcBorders>
              <w:top w:val="single" w:sz="4" w:space="0" w:color="auto"/>
              <w:left w:val="nil"/>
              <w:bottom w:val="nil"/>
              <w:right w:val="nil"/>
            </w:tcBorders>
            <w:vAlign w:val="bottom"/>
          </w:tcPr>
          <w:p w14:paraId="7857A5EF" w14:textId="77777777" w:rsidR="008C676E" w:rsidRDefault="008C676E">
            <w:pPr>
              <w:spacing w:after="0" w:line="240" w:lineRule="auto"/>
              <w:jc w:val="center"/>
              <w:rPr>
                <w:rFonts w:ascii="Arial" w:eastAsia="Times New Roman" w:hAnsi="Arial" w:cs="Arial"/>
                <w:sz w:val="16"/>
                <w:szCs w:val="16"/>
                <w:lang w:eastAsia="en-GB"/>
              </w:rPr>
            </w:pPr>
          </w:p>
        </w:tc>
        <w:tc>
          <w:tcPr>
            <w:tcW w:w="1104" w:type="dxa"/>
            <w:tcBorders>
              <w:top w:val="single" w:sz="4" w:space="0" w:color="auto"/>
              <w:left w:val="nil"/>
              <w:bottom w:val="nil"/>
              <w:right w:val="nil"/>
            </w:tcBorders>
            <w:vAlign w:val="bottom"/>
          </w:tcPr>
          <w:p w14:paraId="5585AB3F" w14:textId="77777777" w:rsidR="008C676E" w:rsidRDefault="008C676E">
            <w:pPr>
              <w:spacing w:after="0" w:line="240" w:lineRule="auto"/>
              <w:jc w:val="right"/>
              <w:rPr>
                <w:rFonts w:ascii="Arial" w:eastAsia="Times New Roman" w:hAnsi="Arial" w:cs="Arial"/>
                <w:sz w:val="16"/>
                <w:szCs w:val="16"/>
                <w:lang w:eastAsia="en-GB"/>
              </w:rPr>
            </w:pPr>
          </w:p>
        </w:tc>
        <w:tc>
          <w:tcPr>
            <w:tcW w:w="1306" w:type="dxa"/>
            <w:tcBorders>
              <w:top w:val="single" w:sz="4" w:space="0" w:color="auto"/>
              <w:left w:val="nil"/>
              <w:bottom w:val="nil"/>
              <w:right w:val="nil"/>
            </w:tcBorders>
            <w:shd w:val="clear" w:color="auto" w:fill="FFFFFF" w:themeFill="background1"/>
            <w:vAlign w:val="bottom"/>
          </w:tcPr>
          <w:p w14:paraId="04077F9C" w14:textId="77777777" w:rsidR="008C676E" w:rsidRDefault="008C676E">
            <w:pPr>
              <w:spacing w:after="0" w:line="240" w:lineRule="auto"/>
              <w:jc w:val="right"/>
              <w:rPr>
                <w:rFonts w:ascii="Arial" w:eastAsia="Times New Roman" w:hAnsi="Arial" w:cs="Arial"/>
                <w:sz w:val="16"/>
                <w:szCs w:val="16"/>
                <w:lang w:eastAsia="en-GB"/>
              </w:rPr>
            </w:pPr>
          </w:p>
        </w:tc>
        <w:tc>
          <w:tcPr>
            <w:tcW w:w="903" w:type="dxa"/>
            <w:tcBorders>
              <w:top w:val="single" w:sz="4" w:space="0" w:color="auto"/>
              <w:left w:val="nil"/>
              <w:bottom w:val="nil"/>
              <w:right w:val="nil"/>
            </w:tcBorders>
            <w:shd w:val="clear" w:color="auto" w:fill="FFFFFF" w:themeFill="background1"/>
            <w:vAlign w:val="bottom"/>
          </w:tcPr>
          <w:p w14:paraId="2EB7307B" w14:textId="77777777" w:rsidR="008C676E" w:rsidRDefault="008C676E">
            <w:pPr>
              <w:spacing w:after="0" w:line="240" w:lineRule="auto"/>
              <w:jc w:val="right"/>
              <w:rPr>
                <w:rFonts w:ascii="Arial" w:eastAsia="Times New Roman" w:hAnsi="Arial" w:cs="Arial"/>
                <w:sz w:val="16"/>
                <w:szCs w:val="16"/>
                <w:lang w:eastAsia="en-GB"/>
              </w:rPr>
            </w:pPr>
          </w:p>
        </w:tc>
        <w:tc>
          <w:tcPr>
            <w:tcW w:w="1105" w:type="dxa"/>
            <w:tcBorders>
              <w:top w:val="single" w:sz="4" w:space="0" w:color="auto"/>
              <w:left w:val="nil"/>
              <w:bottom w:val="nil"/>
              <w:right w:val="nil"/>
            </w:tcBorders>
            <w:shd w:val="clear" w:color="auto" w:fill="FFFFFF" w:themeFill="background1"/>
            <w:vAlign w:val="bottom"/>
          </w:tcPr>
          <w:p w14:paraId="44CBA9FD" w14:textId="77777777" w:rsidR="008C676E" w:rsidRDefault="008C676E">
            <w:pPr>
              <w:spacing w:after="0" w:line="240" w:lineRule="auto"/>
              <w:jc w:val="right"/>
              <w:rPr>
                <w:rFonts w:ascii="Arial" w:eastAsia="Times New Roman" w:hAnsi="Arial" w:cs="Arial"/>
                <w:sz w:val="16"/>
                <w:szCs w:val="16"/>
                <w:lang w:eastAsia="en-GB"/>
              </w:rPr>
            </w:pPr>
          </w:p>
        </w:tc>
        <w:tc>
          <w:tcPr>
            <w:tcW w:w="1252" w:type="dxa"/>
            <w:tcBorders>
              <w:top w:val="single" w:sz="4" w:space="0" w:color="auto"/>
              <w:left w:val="nil"/>
              <w:bottom w:val="nil"/>
              <w:right w:val="nil"/>
            </w:tcBorders>
            <w:shd w:val="clear" w:color="auto" w:fill="FFFFFF" w:themeFill="background1"/>
            <w:vAlign w:val="bottom"/>
          </w:tcPr>
          <w:p w14:paraId="54451771" w14:textId="77777777" w:rsidR="008C676E" w:rsidRDefault="008C676E">
            <w:pPr>
              <w:spacing w:after="0" w:line="240" w:lineRule="auto"/>
              <w:jc w:val="right"/>
              <w:rPr>
                <w:rFonts w:ascii="Arial" w:eastAsia="Times New Roman" w:hAnsi="Arial" w:cs="Arial"/>
                <w:sz w:val="16"/>
                <w:szCs w:val="16"/>
                <w:lang w:eastAsia="en-GB"/>
              </w:rPr>
            </w:pPr>
          </w:p>
        </w:tc>
        <w:tc>
          <w:tcPr>
            <w:tcW w:w="957" w:type="dxa"/>
            <w:tcBorders>
              <w:top w:val="single" w:sz="4" w:space="0" w:color="auto"/>
              <w:left w:val="nil"/>
              <w:bottom w:val="nil"/>
              <w:right w:val="nil"/>
            </w:tcBorders>
            <w:shd w:val="clear" w:color="auto" w:fill="FFFFFF" w:themeFill="background1"/>
            <w:vAlign w:val="bottom"/>
          </w:tcPr>
          <w:p w14:paraId="79A11D4B" w14:textId="77777777" w:rsidR="008C676E" w:rsidRDefault="008C676E">
            <w:pPr>
              <w:spacing w:after="0" w:line="240" w:lineRule="auto"/>
              <w:jc w:val="right"/>
              <w:rPr>
                <w:rFonts w:ascii="Arial" w:eastAsia="Times New Roman" w:hAnsi="Arial" w:cs="Arial"/>
                <w:sz w:val="16"/>
                <w:szCs w:val="16"/>
                <w:lang w:eastAsia="en-GB"/>
              </w:rPr>
            </w:pPr>
          </w:p>
        </w:tc>
      </w:tr>
      <w:tr w:rsidR="008C676E" w14:paraId="373FA269" w14:textId="77777777" w:rsidTr="008C676E">
        <w:trPr>
          <w:trHeight w:val="283"/>
        </w:trPr>
        <w:tc>
          <w:tcPr>
            <w:tcW w:w="2410" w:type="dxa"/>
            <w:noWrap/>
            <w:vAlign w:val="center"/>
            <w:hideMark/>
          </w:tcPr>
          <w:p w14:paraId="1FC0A8AA" w14:textId="77777777" w:rsidR="008C676E" w:rsidRDefault="008C676E">
            <w:pPr>
              <w:spacing w:after="0" w:line="240" w:lineRule="auto"/>
              <w:rPr>
                <w:rFonts w:ascii="Arial" w:eastAsia="Times New Roman" w:hAnsi="Arial" w:cs="Arial"/>
                <w:b/>
                <w:bCs/>
                <w:sz w:val="16"/>
                <w:szCs w:val="16"/>
                <w:lang w:eastAsia="en-GB"/>
              </w:rPr>
            </w:pPr>
            <w:r>
              <w:rPr>
                <w:rFonts w:ascii="Arial" w:eastAsia="Times New Roman" w:hAnsi="Arial" w:cs="Arial"/>
                <w:b/>
                <w:bCs/>
                <w:sz w:val="16"/>
                <w:szCs w:val="16"/>
                <w:lang w:eastAsia="en-GB"/>
              </w:rPr>
              <w:t>Revenue</w:t>
            </w:r>
          </w:p>
        </w:tc>
        <w:tc>
          <w:tcPr>
            <w:tcW w:w="709" w:type="dxa"/>
            <w:vAlign w:val="bottom"/>
            <w:hideMark/>
          </w:tcPr>
          <w:p w14:paraId="3D133CF4" w14:textId="52CE331B" w:rsidR="008C676E" w:rsidRDefault="004B35C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04" w:type="dxa"/>
            <w:vAlign w:val="bottom"/>
            <w:hideMark/>
          </w:tcPr>
          <w:p w14:paraId="26162326"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402.9</w:t>
            </w:r>
          </w:p>
        </w:tc>
        <w:tc>
          <w:tcPr>
            <w:tcW w:w="1306" w:type="dxa"/>
            <w:shd w:val="clear" w:color="auto" w:fill="FFFFFF" w:themeFill="background1"/>
            <w:vAlign w:val="bottom"/>
            <w:hideMark/>
          </w:tcPr>
          <w:p w14:paraId="3A4F3FB9"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100.3</w:t>
            </w:r>
          </w:p>
        </w:tc>
        <w:tc>
          <w:tcPr>
            <w:tcW w:w="903" w:type="dxa"/>
            <w:shd w:val="clear" w:color="auto" w:fill="FFFFFF" w:themeFill="background1"/>
            <w:vAlign w:val="bottom"/>
            <w:hideMark/>
          </w:tcPr>
          <w:p w14:paraId="0D4C6AA9"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503.2</w:t>
            </w:r>
          </w:p>
        </w:tc>
        <w:tc>
          <w:tcPr>
            <w:tcW w:w="1105" w:type="dxa"/>
            <w:shd w:val="clear" w:color="auto" w:fill="FFFFFF" w:themeFill="background1"/>
            <w:vAlign w:val="bottom"/>
            <w:hideMark/>
          </w:tcPr>
          <w:p w14:paraId="47A48FB0"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381.9</w:t>
            </w:r>
          </w:p>
        </w:tc>
        <w:tc>
          <w:tcPr>
            <w:tcW w:w="1252" w:type="dxa"/>
            <w:shd w:val="clear" w:color="auto" w:fill="FFFFFF" w:themeFill="background1"/>
            <w:vAlign w:val="bottom"/>
            <w:hideMark/>
          </w:tcPr>
          <w:p w14:paraId="0F2938EB"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83.8</w:t>
            </w:r>
          </w:p>
        </w:tc>
        <w:tc>
          <w:tcPr>
            <w:tcW w:w="957" w:type="dxa"/>
            <w:shd w:val="clear" w:color="auto" w:fill="FFFFFF" w:themeFill="background1"/>
            <w:vAlign w:val="bottom"/>
            <w:hideMark/>
          </w:tcPr>
          <w:p w14:paraId="3B794B04"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465.7</w:t>
            </w:r>
          </w:p>
        </w:tc>
      </w:tr>
      <w:tr w:rsidR="008C676E" w14:paraId="5C889682" w14:textId="77777777" w:rsidTr="008C676E">
        <w:trPr>
          <w:trHeight w:val="283"/>
        </w:trPr>
        <w:tc>
          <w:tcPr>
            <w:tcW w:w="2410" w:type="dxa"/>
            <w:tcBorders>
              <w:top w:val="nil"/>
              <w:left w:val="nil"/>
              <w:bottom w:val="single" w:sz="4" w:space="0" w:color="auto"/>
              <w:right w:val="nil"/>
            </w:tcBorders>
            <w:noWrap/>
            <w:vAlign w:val="center"/>
            <w:hideMark/>
          </w:tcPr>
          <w:p w14:paraId="1F465456"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Cost of sales</w:t>
            </w:r>
          </w:p>
        </w:tc>
        <w:tc>
          <w:tcPr>
            <w:tcW w:w="709" w:type="dxa"/>
            <w:tcBorders>
              <w:top w:val="nil"/>
              <w:left w:val="nil"/>
              <w:bottom w:val="single" w:sz="4" w:space="0" w:color="auto"/>
              <w:right w:val="nil"/>
            </w:tcBorders>
            <w:vAlign w:val="bottom"/>
          </w:tcPr>
          <w:p w14:paraId="681E37F0" w14:textId="77777777" w:rsidR="008C676E" w:rsidRDefault="008C676E">
            <w:pPr>
              <w:spacing w:after="0" w:line="240" w:lineRule="auto"/>
              <w:jc w:val="center"/>
              <w:rPr>
                <w:rFonts w:ascii="Arial" w:eastAsia="Times New Roman" w:hAnsi="Arial" w:cs="Arial"/>
                <w:sz w:val="16"/>
                <w:szCs w:val="16"/>
                <w:lang w:eastAsia="en-GB"/>
              </w:rPr>
            </w:pPr>
          </w:p>
        </w:tc>
        <w:tc>
          <w:tcPr>
            <w:tcW w:w="1104" w:type="dxa"/>
            <w:tcBorders>
              <w:top w:val="nil"/>
              <w:left w:val="nil"/>
              <w:bottom w:val="single" w:sz="4" w:space="0" w:color="auto"/>
              <w:right w:val="nil"/>
            </w:tcBorders>
            <w:vAlign w:val="bottom"/>
            <w:hideMark/>
          </w:tcPr>
          <w:p w14:paraId="6A54E414"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(251.3)</w:t>
            </w:r>
          </w:p>
        </w:tc>
        <w:tc>
          <w:tcPr>
            <w:tcW w:w="1306" w:type="dxa"/>
            <w:tcBorders>
              <w:top w:val="nil"/>
              <w:left w:val="nil"/>
              <w:bottom w:val="single" w:sz="4" w:space="0" w:color="auto"/>
              <w:right w:val="nil"/>
            </w:tcBorders>
            <w:shd w:val="clear" w:color="auto" w:fill="FFFFFF" w:themeFill="background1"/>
            <w:vAlign w:val="bottom"/>
            <w:hideMark/>
          </w:tcPr>
          <w:p w14:paraId="55BEB0B3"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(34.2)</w:t>
            </w:r>
          </w:p>
        </w:tc>
        <w:tc>
          <w:tcPr>
            <w:tcW w:w="903" w:type="dxa"/>
            <w:tcBorders>
              <w:top w:val="nil"/>
              <w:left w:val="nil"/>
              <w:bottom w:val="single" w:sz="4" w:space="0" w:color="auto"/>
              <w:right w:val="nil"/>
            </w:tcBorders>
            <w:shd w:val="clear" w:color="auto" w:fill="FFFFFF" w:themeFill="background1"/>
            <w:vAlign w:val="bottom"/>
            <w:hideMark/>
          </w:tcPr>
          <w:p w14:paraId="0F8DB047"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(285.5)</w:t>
            </w:r>
          </w:p>
        </w:tc>
        <w:tc>
          <w:tcPr>
            <w:tcW w:w="1105" w:type="dxa"/>
            <w:tcBorders>
              <w:top w:val="nil"/>
              <w:left w:val="nil"/>
              <w:bottom w:val="single" w:sz="4" w:space="0" w:color="auto"/>
              <w:right w:val="nil"/>
            </w:tcBorders>
            <w:shd w:val="clear" w:color="auto" w:fill="FFFFFF" w:themeFill="background1"/>
            <w:vAlign w:val="bottom"/>
            <w:hideMark/>
          </w:tcPr>
          <w:p w14:paraId="49B040D3"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(243.5)</w:t>
            </w:r>
          </w:p>
        </w:tc>
        <w:tc>
          <w:tcPr>
            <w:tcW w:w="1252" w:type="dxa"/>
            <w:tcBorders>
              <w:top w:val="nil"/>
              <w:left w:val="nil"/>
              <w:bottom w:val="single" w:sz="4" w:space="0" w:color="auto"/>
              <w:right w:val="nil"/>
            </w:tcBorders>
            <w:shd w:val="clear" w:color="auto" w:fill="FFFFFF" w:themeFill="background1"/>
            <w:vAlign w:val="bottom"/>
            <w:hideMark/>
          </w:tcPr>
          <w:p w14:paraId="09B3BEDD"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(33.2)</w:t>
            </w:r>
          </w:p>
        </w:tc>
        <w:tc>
          <w:tcPr>
            <w:tcW w:w="957" w:type="dxa"/>
            <w:tcBorders>
              <w:top w:val="nil"/>
              <w:left w:val="nil"/>
              <w:bottom w:val="single" w:sz="4" w:space="0" w:color="auto"/>
              <w:right w:val="nil"/>
            </w:tcBorders>
            <w:shd w:val="clear" w:color="auto" w:fill="FFFFFF" w:themeFill="background1"/>
            <w:vAlign w:val="bottom"/>
            <w:hideMark/>
          </w:tcPr>
          <w:p w14:paraId="4FADE074"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(276.7)</w:t>
            </w:r>
          </w:p>
        </w:tc>
      </w:tr>
      <w:tr w:rsidR="008C676E" w14:paraId="52CB3787" w14:textId="77777777" w:rsidTr="008C676E">
        <w:trPr>
          <w:trHeight w:val="283"/>
        </w:trPr>
        <w:tc>
          <w:tcPr>
            <w:tcW w:w="2410" w:type="dxa"/>
            <w:tcBorders>
              <w:top w:val="single" w:sz="4" w:space="0" w:color="auto"/>
              <w:left w:val="nil"/>
              <w:bottom w:val="single" w:sz="4" w:space="0" w:color="auto"/>
              <w:right w:val="nil"/>
            </w:tcBorders>
            <w:noWrap/>
            <w:vAlign w:val="center"/>
            <w:hideMark/>
          </w:tcPr>
          <w:p w14:paraId="7F02E74B" w14:textId="77777777" w:rsidR="008C676E" w:rsidRDefault="008C676E">
            <w:pPr>
              <w:spacing w:after="0" w:line="240" w:lineRule="auto"/>
              <w:rPr>
                <w:rFonts w:ascii="Arial" w:eastAsia="Times New Roman" w:hAnsi="Arial" w:cs="Arial"/>
                <w:b/>
                <w:bCs/>
                <w:sz w:val="16"/>
                <w:szCs w:val="16"/>
                <w:lang w:eastAsia="en-GB"/>
              </w:rPr>
            </w:pPr>
            <w:r>
              <w:rPr>
                <w:rFonts w:ascii="Arial" w:eastAsia="Times New Roman" w:hAnsi="Arial" w:cs="Arial"/>
                <w:b/>
                <w:bCs/>
                <w:sz w:val="16"/>
                <w:szCs w:val="16"/>
                <w:lang w:eastAsia="en-GB"/>
              </w:rPr>
              <w:t>Gross profit</w:t>
            </w:r>
          </w:p>
        </w:tc>
        <w:tc>
          <w:tcPr>
            <w:tcW w:w="709" w:type="dxa"/>
            <w:tcBorders>
              <w:top w:val="single" w:sz="4" w:space="0" w:color="auto"/>
              <w:left w:val="nil"/>
              <w:bottom w:val="single" w:sz="4" w:space="0" w:color="auto"/>
              <w:right w:val="nil"/>
            </w:tcBorders>
            <w:vAlign w:val="bottom"/>
          </w:tcPr>
          <w:p w14:paraId="2D7021EE" w14:textId="77777777" w:rsidR="008C676E" w:rsidRDefault="008C676E">
            <w:pPr>
              <w:spacing w:after="0" w:line="240" w:lineRule="auto"/>
              <w:jc w:val="center"/>
              <w:rPr>
                <w:rFonts w:ascii="Arial" w:eastAsia="Times New Roman" w:hAnsi="Arial" w:cs="Arial"/>
                <w:b/>
                <w:bCs/>
                <w:sz w:val="16"/>
                <w:szCs w:val="16"/>
                <w:lang w:eastAsia="en-GB"/>
              </w:rPr>
            </w:pPr>
          </w:p>
        </w:tc>
        <w:tc>
          <w:tcPr>
            <w:tcW w:w="1104" w:type="dxa"/>
            <w:tcBorders>
              <w:top w:val="single" w:sz="4" w:space="0" w:color="auto"/>
              <w:left w:val="nil"/>
              <w:bottom w:val="single" w:sz="4" w:space="0" w:color="auto"/>
              <w:right w:val="nil"/>
            </w:tcBorders>
            <w:vAlign w:val="bottom"/>
            <w:hideMark/>
          </w:tcPr>
          <w:p w14:paraId="41D280B3"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151.6</w:t>
            </w:r>
          </w:p>
        </w:tc>
        <w:tc>
          <w:tcPr>
            <w:tcW w:w="1306" w:type="dxa"/>
            <w:tcBorders>
              <w:top w:val="single" w:sz="4" w:space="0" w:color="auto"/>
              <w:left w:val="nil"/>
              <w:bottom w:val="single" w:sz="4" w:space="0" w:color="auto"/>
              <w:right w:val="nil"/>
            </w:tcBorders>
            <w:shd w:val="clear" w:color="auto" w:fill="FFFFFF" w:themeFill="background1"/>
            <w:vAlign w:val="bottom"/>
            <w:hideMark/>
          </w:tcPr>
          <w:p w14:paraId="43A039AE"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66.1</w:t>
            </w:r>
          </w:p>
        </w:tc>
        <w:tc>
          <w:tcPr>
            <w:tcW w:w="903" w:type="dxa"/>
            <w:tcBorders>
              <w:top w:val="single" w:sz="4" w:space="0" w:color="auto"/>
              <w:left w:val="nil"/>
              <w:bottom w:val="single" w:sz="4" w:space="0" w:color="auto"/>
              <w:right w:val="nil"/>
            </w:tcBorders>
            <w:shd w:val="clear" w:color="auto" w:fill="FFFFFF" w:themeFill="background1"/>
            <w:vAlign w:val="bottom"/>
            <w:hideMark/>
          </w:tcPr>
          <w:p w14:paraId="74D19C34"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217.7</w:t>
            </w:r>
          </w:p>
        </w:tc>
        <w:tc>
          <w:tcPr>
            <w:tcW w:w="1105" w:type="dxa"/>
            <w:tcBorders>
              <w:top w:val="single" w:sz="4" w:space="0" w:color="auto"/>
              <w:left w:val="nil"/>
              <w:bottom w:val="single" w:sz="4" w:space="0" w:color="auto"/>
              <w:right w:val="nil"/>
            </w:tcBorders>
            <w:shd w:val="clear" w:color="auto" w:fill="FFFFFF" w:themeFill="background1"/>
            <w:vAlign w:val="bottom"/>
            <w:hideMark/>
          </w:tcPr>
          <w:p w14:paraId="2862687C"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138.4</w:t>
            </w:r>
          </w:p>
        </w:tc>
        <w:tc>
          <w:tcPr>
            <w:tcW w:w="1252" w:type="dxa"/>
            <w:tcBorders>
              <w:top w:val="single" w:sz="4" w:space="0" w:color="auto"/>
              <w:left w:val="nil"/>
              <w:bottom w:val="single" w:sz="4" w:space="0" w:color="auto"/>
              <w:right w:val="nil"/>
            </w:tcBorders>
            <w:shd w:val="clear" w:color="auto" w:fill="FFFFFF" w:themeFill="background1"/>
            <w:vAlign w:val="bottom"/>
            <w:hideMark/>
          </w:tcPr>
          <w:p w14:paraId="624F1E9B"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50.6</w:t>
            </w:r>
          </w:p>
        </w:tc>
        <w:tc>
          <w:tcPr>
            <w:tcW w:w="957" w:type="dxa"/>
            <w:tcBorders>
              <w:top w:val="single" w:sz="4" w:space="0" w:color="auto"/>
              <w:left w:val="nil"/>
              <w:bottom w:val="single" w:sz="4" w:space="0" w:color="auto"/>
              <w:right w:val="nil"/>
            </w:tcBorders>
            <w:shd w:val="clear" w:color="auto" w:fill="FFFFFF" w:themeFill="background1"/>
            <w:vAlign w:val="bottom"/>
            <w:hideMark/>
          </w:tcPr>
          <w:p w14:paraId="10561E0B"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189.0</w:t>
            </w:r>
          </w:p>
        </w:tc>
      </w:tr>
      <w:tr w:rsidR="008C676E" w14:paraId="46C90641" w14:textId="77777777" w:rsidTr="008C676E">
        <w:trPr>
          <w:trHeight w:val="283"/>
        </w:trPr>
        <w:tc>
          <w:tcPr>
            <w:tcW w:w="2410" w:type="dxa"/>
            <w:tcBorders>
              <w:top w:val="single" w:sz="4" w:space="0" w:color="auto"/>
              <w:left w:val="nil"/>
              <w:bottom w:val="nil"/>
              <w:right w:val="nil"/>
            </w:tcBorders>
            <w:noWrap/>
            <w:vAlign w:val="center"/>
            <w:hideMark/>
          </w:tcPr>
          <w:p w14:paraId="591E2456"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Administrative expenses excluding acquisition and other costs</w:t>
            </w:r>
          </w:p>
        </w:tc>
        <w:tc>
          <w:tcPr>
            <w:tcW w:w="709" w:type="dxa"/>
            <w:tcBorders>
              <w:top w:val="single" w:sz="4" w:space="0" w:color="auto"/>
              <w:left w:val="nil"/>
              <w:bottom w:val="nil"/>
              <w:right w:val="nil"/>
            </w:tcBorders>
            <w:vAlign w:val="bottom"/>
          </w:tcPr>
          <w:p w14:paraId="7464DF77" w14:textId="77777777" w:rsidR="008C676E" w:rsidRDefault="008C676E">
            <w:pPr>
              <w:spacing w:after="0" w:line="240" w:lineRule="auto"/>
              <w:jc w:val="center"/>
              <w:rPr>
                <w:rFonts w:ascii="Arial" w:eastAsia="Times New Roman" w:hAnsi="Arial" w:cs="Arial"/>
                <w:sz w:val="16"/>
                <w:szCs w:val="16"/>
                <w:lang w:eastAsia="en-GB"/>
              </w:rPr>
            </w:pPr>
          </w:p>
        </w:tc>
        <w:tc>
          <w:tcPr>
            <w:tcW w:w="1104" w:type="dxa"/>
            <w:tcBorders>
              <w:top w:val="single" w:sz="4" w:space="0" w:color="auto"/>
              <w:left w:val="nil"/>
              <w:bottom w:val="nil"/>
              <w:right w:val="nil"/>
            </w:tcBorders>
            <w:vAlign w:val="bottom"/>
            <w:hideMark/>
          </w:tcPr>
          <w:p w14:paraId="5CDDCB78"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(119.5)</w:t>
            </w:r>
          </w:p>
        </w:tc>
        <w:tc>
          <w:tcPr>
            <w:tcW w:w="1306" w:type="dxa"/>
            <w:tcBorders>
              <w:top w:val="single" w:sz="4" w:space="0" w:color="auto"/>
              <w:left w:val="nil"/>
              <w:bottom w:val="nil"/>
              <w:right w:val="nil"/>
            </w:tcBorders>
            <w:shd w:val="clear" w:color="auto" w:fill="FFFFFF" w:themeFill="background1"/>
            <w:vAlign w:val="bottom"/>
            <w:hideMark/>
          </w:tcPr>
          <w:p w14:paraId="43D3A285"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(32.8)</w:t>
            </w:r>
          </w:p>
        </w:tc>
        <w:tc>
          <w:tcPr>
            <w:tcW w:w="903" w:type="dxa"/>
            <w:tcBorders>
              <w:top w:val="single" w:sz="4" w:space="0" w:color="auto"/>
              <w:left w:val="nil"/>
              <w:bottom w:val="nil"/>
              <w:right w:val="nil"/>
            </w:tcBorders>
            <w:shd w:val="clear" w:color="auto" w:fill="FFFFFF" w:themeFill="background1"/>
            <w:vAlign w:val="bottom"/>
            <w:hideMark/>
          </w:tcPr>
          <w:p w14:paraId="290E9FAF"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(152.3)</w:t>
            </w:r>
          </w:p>
        </w:tc>
        <w:tc>
          <w:tcPr>
            <w:tcW w:w="1105" w:type="dxa"/>
            <w:tcBorders>
              <w:top w:val="single" w:sz="4" w:space="0" w:color="auto"/>
              <w:left w:val="nil"/>
              <w:bottom w:val="nil"/>
              <w:right w:val="nil"/>
            </w:tcBorders>
            <w:shd w:val="clear" w:color="auto" w:fill="FFFFFF" w:themeFill="background1"/>
            <w:vAlign w:val="bottom"/>
            <w:hideMark/>
          </w:tcPr>
          <w:p w14:paraId="3110CE79"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(102.4)</w:t>
            </w:r>
          </w:p>
        </w:tc>
        <w:tc>
          <w:tcPr>
            <w:tcW w:w="1252" w:type="dxa"/>
            <w:tcBorders>
              <w:top w:val="single" w:sz="4" w:space="0" w:color="auto"/>
              <w:left w:val="nil"/>
              <w:bottom w:val="nil"/>
              <w:right w:val="nil"/>
            </w:tcBorders>
            <w:shd w:val="clear" w:color="auto" w:fill="FFFFFF" w:themeFill="background1"/>
            <w:vAlign w:val="bottom"/>
            <w:hideMark/>
          </w:tcPr>
          <w:p w14:paraId="6CCDBFE3"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(22.3)</w:t>
            </w:r>
          </w:p>
        </w:tc>
        <w:tc>
          <w:tcPr>
            <w:tcW w:w="957" w:type="dxa"/>
            <w:tcBorders>
              <w:top w:val="single" w:sz="4" w:space="0" w:color="auto"/>
              <w:left w:val="nil"/>
              <w:bottom w:val="nil"/>
              <w:right w:val="nil"/>
            </w:tcBorders>
            <w:shd w:val="clear" w:color="auto" w:fill="FFFFFF" w:themeFill="background1"/>
            <w:vAlign w:val="bottom"/>
            <w:hideMark/>
          </w:tcPr>
          <w:p w14:paraId="2C474FB1"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(124.7)</w:t>
            </w:r>
          </w:p>
        </w:tc>
      </w:tr>
      <w:tr w:rsidR="008C676E" w14:paraId="3B88AB7C" w14:textId="77777777" w:rsidTr="008C676E">
        <w:trPr>
          <w:trHeight w:val="283"/>
        </w:trPr>
        <w:tc>
          <w:tcPr>
            <w:tcW w:w="2410" w:type="dxa"/>
            <w:noWrap/>
            <w:vAlign w:val="center"/>
            <w:hideMark/>
          </w:tcPr>
          <w:p w14:paraId="2901B3FF"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Acquisition and disposal costs (including strategic review)</w:t>
            </w:r>
          </w:p>
        </w:tc>
        <w:tc>
          <w:tcPr>
            <w:tcW w:w="709" w:type="dxa"/>
            <w:vAlign w:val="bottom"/>
            <w:hideMark/>
          </w:tcPr>
          <w:p w14:paraId="416302F2" w14:textId="4B8B64EE" w:rsidR="008C676E" w:rsidRDefault="004B35C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04" w:type="dxa"/>
            <w:vAlign w:val="bottom"/>
            <w:hideMark/>
          </w:tcPr>
          <w:p w14:paraId="0E74D86E"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(5.1)</w:t>
            </w:r>
          </w:p>
        </w:tc>
        <w:tc>
          <w:tcPr>
            <w:tcW w:w="1306" w:type="dxa"/>
            <w:shd w:val="clear" w:color="auto" w:fill="FFFFFF" w:themeFill="background1"/>
            <w:vAlign w:val="bottom"/>
            <w:hideMark/>
          </w:tcPr>
          <w:p w14:paraId="339FB79F"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(2.7)</w:t>
            </w:r>
          </w:p>
        </w:tc>
        <w:tc>
          <w:tcPr>
            <w:tcW w:w="903" w:type="dxa"/>
            <w:shd w:val="clear" w:color="auto" w:fill="FFFFFF" w:themeFill="background1"/>
            <w:vAlign w:val="bottom"/>
            <w:hideMark/>
          </w:tcPr>
          <w:p w14:paraId="1154296E"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(7.8)</w:t>
            </w:r>
          </w:p>
        </w:tc>
        <w:tc>
          <w:tcPr>
            <w:tcW w:w="1105" w:type="dxa"/>
            <w:shd w:val="clear" w:color="auto" w:fill="FFFFFF" w:themeFill="background1"/>
            <w:vAlign w:val="bottom"/>
            <w:hideMark/>
          </w:tcPr>
          <w:p w14:paraId="64C60C31"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252" w:type="dxa"/>
            <w:shd w:val="clear" w:color="auto" w:fill="FFFFFF" w:themeFill="background1"/>
            <w:vAlign w:val="bottom"/>
            <w:hideMark/>
          </w:tcPr>
          <w:p w14:paraId="1CCEAC96"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957" w:type="dxa"/>
            <w:shd w:val="clear" w:color="auto" w:fill="FFFFFF" w:themeFill="background1"/>
            <w:vAlign w:val="bottom"/>
            <w:hideMark/>
          </w:tcPr>
          <w:p w14:paraId="3FBFC8D7"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(2.7)</w:t>
            </w:r>
          </w:p>
        </w:tc>
      </w:tr>
      <w:tr w:rsidR="008C676E" w14:paraId="47BB56D3" w14:textId="77777777" w:rsidTr="008C676E">
        <w:trPr>
          <w:trHeight w:val="283"/>
        </w:trPr>
        <w:tc>
          <w:tcPr>
            <w:tcW w:w="2410" w:type="dxa"/>
            <w:noWrap/>
            <w:vAlign w:val="center"/>
            <w:hideMark/>
          </w:tcPr>
          <w:p w14:paraId="0527838D"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Restructuring costs</w:t>
            </w:r>
          </w:p>
        </w:tc>
        <w:tc>
          <w:tcPr>
            <w:tcW w:w="709" w:type="dxa"/>
            <w:vAlign w:val="bottom"/>
            <w:hideMark/>
          </w:tcPr>
          <w:p w14:paraId="57EE60FC" w14:textId="3DABDB4C" w:rsidR="008C676E" w:rsidRDefault="004B35C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04" w:type="dxa"/>
            <w:vAlign w:val="bottom"/>
            <w:hideMark/>
          </w:tcPr>
          <w:p w14:paraId="6F0B7631"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(14.6)</w:t>
            </w:r>
          </w:p>
        </w:tc>
        <w:tc>
          <w:tcPr>
            <w:tcW w:w="1306" w:type="dxa"/>
            <w:shd w:val="clear" w:color="auto" w:fill="FFFFFF" w:themeFill="background1"/>
            <w:vAlign w:val="bottom"/>
            <w:hideMark/>
          </w:tcPr>
          <w:p w14:paraId="25C21D0E"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(3.6)</w:t>
            </w:r>
          </w:p>
        </w:tc>
        <w:tc>
          <w:tcPr>
            <w:tcW w:w="903" w:type="dxa"/>
            <w:shd w:val="clear" w:color="auto" w:fill="FFFFFF" w:themeFill="background1"/>
            <w:vAlign w:val="bottom"/>
            <w:hideMark/>
          </w:tcPr>
          <w:p w14:paraId="22E16141"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(18.2)</w:t>
            </w:r>
          </w:p>
        </w:tc>
        <w:tc>
          <w:tcPr>
            <w:tcW w:w="1105" w:type="dxa"/>
            <w:shd w:val="clear" w:color="auto" w:fill="FFFFFF" w:themeFill="background1"/>
            <w:vAlign w:val="bottom"/>
            <w:hideMark/>
          </w:tcPr>
          <w:p w14:paraId="3B5CB2CF"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(15.2)</w:t>
            </w:r>
          </w:p>
        </w:tc>
        <w:tc>
          <w:tcPr>
            <w:tcW w:w="1252" w:type="dxa"/>
            <w:shd w:val="clear" w:color="auto" w:fill="FFFFFF" w:themeFill="background1"/>
            <w:vAlign w:val="bottom"/>
            <w:hideMark/>
          </w:tcPr>
          <w:p w14:paraId="6E4491E1"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957" w:type="dxa"/>
            <w:shd w:val="clear" w:color="auto" w:fill="FFFFFF" w:themeFill="background1"/>
            <w:vAlign w:val="bottom"/>
            <w:hideMark/>
          </w:tcPr>
          <w:p w14:paraId="579D470B"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(21.1)</w:t>
            </w:r>
          </w:p>
        </w:tc>
      </w:tr>
      <w:tr w:rsidR="008C676E" w14:paraId="4B277B63" w14:textId="77777777" w:rsidTr="008C676E">
        <w:trPr>
          <w:trHeight w:val="283"/>
        </w:trPr>
        <w:tc>
          <w:tcPr>
            <w:tcW w:w="2410" w:type="dxa"/>
            <w:noWrap/>
            <w:vAlign w:val="center"/>
            <w:hideMark/>
          </w:tcPr>
          <w:p w14:paraId="78FEB0B8"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Amortisation of acquired intangibles</w:t>
            </w:r>
          </w:p>
        </w:tc>
        <w:tc>
          <w:tcPr>
            <w:tcW w:w="709" w:type="dxa"/>
            <w:vAlign w:val="bottom"/>
            <w:hideMark/>
          </w:tcPr>
          <w:p w14:paraId="5DCE7B67" w14:textId="0508CE7A" w:rsidR="008C676E" w:rsidRDefault="004B35C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04" w:type="dxa"/>
            <w:vAlign w:val="bottom"/>
            <w:hideMark/>
          </w:tcPr>
          <w:p w14:paraId="5561024C"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(13.2)</w:t>
            </w:r>
          </w:p>
        </w:tc>
        <w:tc>
          <w:tcPr>
            <w:tcW w:w="1306" w:type="dxa"/>
            <w:shd w:val="clear" w:color="auto" w:fill="FFFFFF" w:themeFill="background1"/>
            <w:vAlign w:val="bottom"/>
            <w:hideMark/>
          </w:tcPr>
          <w:p w14:paraId="05A1FC53"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(12.4)</w:t>
            </w:r>
          </w:p>
        </w:tc>
        <w:tc>
          <w:tcPr>
            <w:tcW w:w="903" w:type="dxa"/>
            <w:shd w:val="clear" w:color="auto" w:fill="FFFFFF" w:themeFill="background1"/>
            <w:vAlign w:val="bottom"/>
            <w:hideMark/>
          </w:tcPr>
          <w:p w14:paraId="3259A00B"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(25.6)</w:t>
            </w:r>
          </w:p>
        </w:tc>
        <w:tc>
          <w:tcPr>
            <w:tcW w:w="1105" w:type="dxa"/>
            <w:shd w:val="clear" w:color="auto" w:fill="FFFFFF" w:themeFill="background1"/>
            <w:vAlign w:val="bottom"/>
            <w:hideMark/>
          </w:tcPr>
          <w:p w14:paraId="335DA010"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(12.2)</w:t>
            </w:r>
          </w:p>
        </w:tc>
        <w:tc>
          <w:tcPr>
            <w:tcW w:w="1252" w:type="dxa"/>
            <w:shd w:val="clear" w:color="auto" w:fill="FFFFFF" w:themeFill="background1"/>
            <w:vAlign w:val="bottom"/>
            <w:hideMark/>
          </w:tcPr>
          <w:p w14:paraId="29D24607"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(11.8)</w:t>
            </w:r>
          </w:p>
        </w:tc>
        <w:tc>
          <w:tcPr>
            <w:tcW w:w="957" w:type="dxa"/>
            <w:shd w:val="clear" w:color="auto" w:fill="FFFFFF" w:themeFill="background1"/>
            <w:vAlign w:val="bottom"/>
            <w:hideMark/>
          </w:tcPr>
          <w:p w14:paraId="02D54793"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(24.0)</w:t>
            </w:r>
          </w:p>
        </w:tc>
      </w:tr>
      <w:tr w:rsidR="008C676E" w14:paraId="3898852C" w14:textId="77777777" w:rsidTr="008C676E">
        <w:trPr>
          <w:trHeight w:val="283"/>
        </w:trPr>
        <w:tc>
          <w:tcPr>
            <w:tcW w:w="2410" w:type="dxa"/>
            <w:noWrap/>
            <w:vAlign w:val="center"/>
            <w:hideMark/>
          </w:tcPr>
          <w:p w14:paraId="44B56C85"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Share based payments (excluding SAYE schemes) and legacy long-term incentives</w:t>
            </w:r>
          </w:p>
        </w:tc>
        <w:tc>
          <w:tcPr>
            <w:tcW w:w="709" w:type="dxa"/>
            <w:vAlign w:val="bottom"/>
            <w:hideMark/>
          </w:tcPr>
          <w:p w14:paraId="7F10F5D7" w14:textId="3DE5C5F5" w:rsidR="008C676E" w:rsidRDefault="004B35C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04" w:type="dxa"/>
            <w:vAlign w:val="bottom"/>
            <w:hideMark/>
          </w:tcPr>
          <w:p w14:paraId="48B43CE7"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0.8</w:t>
            </w:r>
          </w:p>
        </w:tc>
        <w:tc>
          <w:tcPr>
            <w:tcW w:w="1306" w:type="dxa"/>
            <w:shd w:val="clear" w:color="auto" w:fill="FFFFFF" w:themeFill="background1"/>
            <w:vAlign w:val="bottom"/>
            <w:hideMark/>
          </w:tcPr>
          <w:p w14:paraId="4591573D"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
        </w:tc>
        <w:tc>
          <w:tcPr>
            <w:tcW w:w="903" w:type="dxa"/>
            <w:shd w:val="clear" w:color="auto" w:fill="FFFFFF" w:themeFill="background1"/>
            <w:vAlign w:val="bottom"/>
            <w:hideMark/>
          </w:tcPr>
          <w:p w14:paraId="73CC9985"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0.8</w:t>
            </w:r>
          </w:p>
        </w:tc>
        <w:tc>
          <w:tcPr>
            <w:tcW w:w="1105" w:type="dxa"/>
            <w:shd w:val="clear" w:color="auto" w:fill="FFFFFF" w:themeFill="background1"/>
            <w:vAlign w:val="bottom"/>
            <w:hideMark/>
          </w:tcPr>
          <w:p w14:paraId="0B2A85C5"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1252" w:type="dxa"/>
            <w:shd w:val="clear" w:color="auto" w:fill="FFFFFF" w:themeFill="background1"/>
            <w:vAlign w:val="bottom"/>
            <w:hideMark/>
          </w:tcPr>
          <w:p w14:paraId="795A932E"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957" w:type="dxa"/>
            <w:shd w:val="clear" w:color="auto" w:fill="FFFFFF" w:themeFill="background1"/>
            <w:vAlign w:val="bottom"/>
            <w:hideMark/>
          </w:tcPr>
          <w:p w14:paraId="22CD49E4"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(1.7)</w:t>
            </w:r>
          </w:p>
        </w:tc>
      </w:tr>
      <w:tr w:rsidR="008C676E" w14:paraId="386C28A6" w14:textId="77777777" w:rsidTr="008C676E">
        <w:trPr>
          <w:trHeight w:val="283"/>
        </w:trPr>
        <w:tc>
          <w:tcPr>
            <w:tcW w:w="2410" w:type="dxa"/>
            <w:tcBorders>
              <w:top w:val="nil"/>
              <w:left w:val="nil"/>
              <w:bottom w:val="single" w:sz="4" w:space="0" w:color="auto"/>
              <w:right w:val="nil"/>
            </w:tcBorders>
            <w:noWrap/>
            <w:vAlign w:val="center"/>
            <w:hideMark/>
          </w:tcPr>
          <w:p w14:paraId="4E39BE8D"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Fair value losses in contingent consideration and acquisition related incentive schemes</w:t>
            </w:r>
          </w:p>
        </w:tc>
        <w:tc>
          <w:tcPr>
            <w:tcW w:w="709" w:type="dxa"/>
            <w:tcBorders>
              <w:top w:val="nil"/>
              <w:left w:val="nil"/>
              <w:bottom w:val="single" w:sz="4" w:space="0" w:color="auto"/>
              <w:right w:val="nil"/>
            </w:tcBorders>
            <w:vAlign w:val="bottom"/>
            <w:hideMark/>
          </w:tcPr>
          <w:p w14:paraId="185011B3" w14:textId="32E82537" w:rsidR="008C676E" w:rsidRDefault="004B35C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04" w:type="dxa"/>
            <w:tcBorders>
              <w:top w:val="nil"/>
              <w:left w:val="nil"/>
              <w:bottom w:val="single" w:sz="4" w:space="0" w:color="auto"/>
              <w:right w:val="nil"/>
            </w:tcBorders>
            <w:vAlign w:val="bottom"/>
            <w:hideMark/>
          </w:tcPr>
          <w:p w14:paraId="52C3B7C6"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(5.0)</w:t>
            </w:r>
          </w:p>
        </w:tc>
        <w:tc>
          <w:tcPr>
            <w:tcW w:w="1306" w:type="dxa"/>
            <w:tcBorders>
              <w:top w:val="nil"/>
              <w:left w:val="nil"/>
              <w:bottom w:val="single" w:sz="4" w:space="0" w:color="auto"/>
              <w:right w:val="nil"/>
            </w:tcBorders>
            <w:shd w:val="clear" w:color="auto" w:fill="FFFFFF" w:themeFill="background1"/>
            <w:vAlign w:val="bottom"/>
            <w:hideMark/>
          </w:tcPr>
          <w:p w14:paraId="396E062A"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
        </w:tc>
        <w:tc>
          <w:tcPr>
            <w:tcW w:w="903" w:type="dxa"/>
            <w:tcBorders>
              <w:top w:val="nil"/>
              <w:left w:val="nil"/>
              <w:bottom w:val="single" w:sz="4" w:space="0" w:color="auto"/>
              <w:right w:val="nil"/>
            </w:tcBorders>
            <w:shd w:val="clear" w:color="auto" w:fill="FFFFFF" w:themeFill="background1"/>
            <w:vAlign w:val="bottom"/>
            <w:hideMark/>
          </w:tcPr>
          <w:p w14:paraId="4CEF4DED"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(5.0)</w:t>
            </w:r>
          </w:p>
        </w:tc>
        <w:tc>
          <w:tcPr>
            <w:tcW w:w="1105" w:type="dxa"/>
            <w:tcBorders>
              <w:top w:val="nil"/>
              <w:left w:val="nil"/>
              <w:bottom w:val="single" w:sz="4" w:space="0" w:color="auto"/>
              <w:right w:val="nil"/>
            </w:tcBorders>
            <w:shd w:val="clear" w:color="auto" w:fill="FFFFFF" w:themeFill="background1"/>
            <w:vAlign w:val="bottom"/>
            <w:hideMark/>
          </w:tcPr>
          <w:p w14:paraId="138D60AE"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1252" w:type="dxa"/>
            <w:tcBorders>
              <w:top w:val="nil"/>
              <w:left w:val="nil"/>
              <w:bottom w:val="single" w:sz="4" w:space="0" w:color="auto"/>
              <w:right w:val="nil"/>
            </w:tcBorders>
            <w:shd w:val="clear" w:color="auto" w:fill="FFFFFF" w:themeFill="background1"/>
            <w:vAlign w:val="bottom"/>
            <w:hideMark/>
          </w:tcPr>
          <w:p w14:paraId="31C2B60C"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957" w:type="dxa"/>
            <w:tcBorders>
              <w:top w:val="nil"/>
              <w:left w:val="nil"/>
              <w:bottom w:val="single" w:sz="4" w:space="0" w:color="auto"/>
              <w:right w:val="nil"/>
            </w:tcBorders>
            <w:shd w:val="clear" w:color="auto" w:fill="FFFFFF" w:themeFill="background1"/>
            <w:vAlign w:val="bottom"/>
            <w:hideMark/>
          </w:tcPr>
          <w:p w14:paraId="15CEC51A"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(8.4)</w:t>
            </w:r>
          </w:p>
        </w:tc>
      </w:tr>
      <w:tr w:rsidR="008C676E" w14:paraId="5C5E58D4" w14:textId="77777777" w:rsidTr="008C676E">
        <w:trPr>
          <w:trHeight w:val="283"/>
        </w:trPr>
        <w:tc>
          <w:tcPr>
            <w:tcW w:w="2410" w:type="dxa"/>
            <w:tcBorders>
              <w:top w:val="single" w:sz="4" w:space="0" w:color="auto"/>
              <w:left w:val="nil"/>
              <w:bottom w:val="single" w:sz="4" w:space="0" w:color="auto"/>
              <w:right w:val="nil"/>
            </w:tcBorders>
            <w:noWrap/>
            <w:vAlign w:val="center"/>
            <w:hideMark/>
          </w:tcPr>
          <w:p w14:paraId="2860369B" w14:textId="77777777" w:rsidR="008C676E" w:rsidRDefault="008C676E">
            <w:pPr>
              <w:spacing w:after="0" w:line="240" w:lineRule="auto"/>
              <w:rPr>
                <w:rFonts w:ascii="Arial" w:eastAsia="Times New Roman" w:hAnsi="Arial" w:cs="Arial"/>
                <w:b/>
                <w:bCs/>
                <w:sz w:val="16"/>
                <w:szCs w:val="16"/>
                <w:lang w:eastAsia="en-GB"/>
              </w:rPr>
            </w:pPr>
            <w:r>
              <w:rPr>
                <w:rFonts w:ascii="Arial" w:eastAsia="Times New Roman" w:hAnsi="Arial" w:cs="Arial"/>
                <w:b/>
                <w:bCs/>
                <w:sz w:val="16"/>
                <w:szCs w:val="16"/>
                <w:lang w:eastAsia="en-GB"/>
              </w:rPr>
              <w:t>Total administrative expenses</w:t>
            </w:r>
          </w:p>
        </w:tc>
        <w:tc>
          <w:tcPr>
            <w:tcW w:w="709" w:type="dxa"/>
            <w:tcBorders>
              <w:top w:val="single" w:sz="4" w:space="0" w:color="auto"/>
              <w:left w:val="nil"/>
              <w:bottom w:val="single" w:sz="4" w:space="0" w:color="auto"/>
              <w:right w:val="nil"/>
            </w:tcBorders>
            <w:vAlign w:val="bottom"/>
          </w:tcPr>
          <w:p w14:paraId="0E1BAB08" w14:textId="77777777" w:rsidR="008C676E" w:rsidRDefault="008C676E">
            <w:pPr>
              <w:spacing w:after="0" w:line="240" w:lineRule="auto"/>
              <w:jc w:val="center"/>
              <w:rPr>
                <w:rFonts w:ascii="Arial" w:eastAsia="Times New Roman" w:hAnsi="Arial" w:cs="Arial"/>
                <w:b/>
                <w:bCs/>
                <w:sz w:val="16"/>
                <w:szCs w:val="16"/>
                <w:lang w:eastAsia="en-GB"/>
              </w:rPr>
            </w:pPr>
          </w:p>
        </w:tc>
        <w:tc>
          <w:tcPr>
            <w:tcW w:w="1104" w:type="dxa"/>
            <w:tcBorders>
              <w:top w:val="single" w:sz="4" w:space="0" w:color="auto"/>
              <w:left w:val="nil"/>
              <w:bottom w:val="single" w:sz="4" w:space="0" w:color="auto"/>
              <w:right w:val="nil"/>
            </w:tcBorders>
            <w:vAlign w:val="bottom"/>
            <w:hideMark/>
          </w:tcPr>
          <w:p w14:paraId="567D19C3"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(156.6)</w:t>
            </w:r>
          </w:p>
        </w:tc>
        <w:tc>
          <w:tcPr>
            <w:tcW w:w="1306" w:type="dxa"/>
            <w:tcBorders>
              <w:top w:val="single" w:sz="4" w:space="0" w:color="auto"/>
              <w:left w:val="nil"/>
              <w:bottom w:val="single" w:sz="4" w:space="0" w:color="auto"/>
              <w:right w:val="nil"/>
            </w:tcBorders>
            <w:shd w:val="clear" w:color="auto" w:fill="FFFFFF" w:themeFill="background1"/>
            <w:vAlign w:val="bottom"/>
            <w:hideMark/>
          </w:tcPr>
          <w:p w14:paraId="18522F19"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(51.5)</w:t>
            </w:r>
          </w:p>
        </w:tc>
        <w:tc>
          <w:tcPr>
            <w:tcW w:w="903" w:type="dxa"/>
            <w:tcBorders>
              <w:top w:val="single" w:sz="4" w:space="0" w:color="auto"/>
              <w:left w:val="nil"/>
              <w:bottom w:val="single" w:sz="4" w:space="0" w:color="auto"/>
              <w:right w:val="nil"/>
            </w:tcBorders>
            <w:shd w:val="clear" w:color="auto" w:fill="FFFFFF" w:themeFill="background1"/>
            <w:vAlign w:val="bottom"/>
            <w:hideMark/>
          </w:tcPr>
          <w:p w14:paraId="23E5A315"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(208.1)</w:t>
            </w:r>
          </w:p>
        </w:tc>
        <w:tc>
          <w:tcPr>
            <w:tcW w:w="1105" w:type="dxa"/>
            <w:tcBorders>
              <w:top w:val="single" w:sz="4" w:space="0" w:color="auto"/>
              <w:left w:val="nil"/>
              <w:bottom w:val="single" w:sz="4" w:space="0" w:color="auto"/>
              <w:right w:val="nil"/>
            </w:tcBorders>
            <w:shd w:val="clear" w:color="auto" w:fill="FFFFFF" w:themeFill="background1"/>
            <w:vAlign w:val="bottom"/>
            <w:hideMark/>
          </w:tcPr>
          <w:p w14:paraId="3BAE1DAB"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(135.1)</w:t>
            </w:r>
          </w:p>
        </w:tc>
        <w:tc>
          <w:tcPr>
            <w:tcW w:w="1252" w:type="dxa"/>
            <w:tcBorders>
              <w:top w:val="single" w:sz="4" w:space="0" w:color="auto"/>
              <w:left w:val="nil"/>
              <w:bottom w:val="single" w:sz="4" w:space="0" w:color="auto"/>
              <w:right w:val="nil"/>
            </w:tcBorders>
            <w:shd w:val="clear" w:color="auto" w:fill="FFFFFF" w:themeFill="background1"/>
            <w:vAlign w:val="bottom"/>
            <w:hideMark/>
          </w:tcPr>
          <w:p w14:paraId="21B4F613"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(47.5)</w:t>
            </w:r>
          </w:p>
        </w:tc>
        <w:tc>
          <w:tcPr>
            <w:tcW w:w="957" w:type="dxa"/>
            <w:tcBorders>
              <w:top w:val="single" w:sz="4" w:space="0" w:color="auto"/>
              <w:left w:val="nil"/>
              <w:bottom w:val="single" w:sz="4" w:space="0" w:color="auto"/>
              <w:right w:val="nil"/>
            </w:tcBorders>
            <w:shd w:val="clear" w:color="auto" w:fill="FFFFFF" w:themeFill="background1"/>
            <w:vAlign w:val="bottom"/>
            <w:hideMark/>
          </w:tcPr>
          <w:p w14:paraId="3650FF49"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(182.6)</w:t>
            </w:r>
          </w:p>
        </w:tc>
      </w:tr>
      <w:tr w:rsidR="008C676E" w14:paraId="2AEE700A" w14:textId="77777777" w:rsidTr="008C676E">
        <w:trPr>
          <w:trHeight w:val="283"/>
        </w:trPr>
        <w:tc>
          <w:tcPr>
            <w:tcW w:w="2410" w:type="dxa"/>
            <w:tcBorders>
              <w:top w:val="single" w:sz="4" w:space="0" w:color="auto"/>
              <w:left w:val="nil"/>
              <w:bottom w:val="single" w:sz="4" w:space="0" w:color="auto"/>
              <w:right w:val="nil"/>
            </w:tcBorders>
            <w:noWrap/>
            <w:vAlign w:val="center"/>
            <w:hideMark/>
          </w:tcPr>
          <w:p w14:paraId="2A829788" w14:textId="77777777" w:rsidR="008C676E" w:rsidRDefault="008C676E">
            <w:pPr>
              <w:spacing w:after="0" w:line="240" w:lineRule="auto"/>
              <w:rPr>
                <w:rFonts w:ascii="Arial" w:eastAsia="Times New Roman" w:hAnsi="Arial" w:cs="Arial"/>
                <w:b/>
                <w:bCs/>
                <w:sz w:val="16"/>
                <w:szCs w:val="16"/>
                <w:lang w:eastAsia="en-GB"/>
              </w:rPr>
            </w:pPr>
            <w:r>
              <w:rPr>
                <w:rFonts w:ascii="Arial" w:eastAsia="Times New Roman" w:hAnsi="Arial" w:cs="Arial"/>
                <w:b/>
                <w:bCs/>
                <w:sz w:val="16"/>
                <w:szCs w:val="16"/>
                <w:lang w:eastAsia="en-GB"/>
              </w:rPr>
              <w:t>Operating (loss)/profit</w:t>
            </w:r>
          </w:p>
        </w:tc>
        <w:tc>
          <w:tcPr>
            <w:tcW w:w="709" w:type="dxa"/>
            <w:tcBorders>
              <w:top w:val="single" w:sz="4" w:space="0" w:color="auto"/>
              <w:left w:val="nil"/>
              <w:bottom w:val="single" w:sz="4" w:space="0" w:color="auto"/>
              <w:right w:val="nil"/>
            </w:tcBorders>
            <w:vAlign w:val="bottom"/>
            <w:hideMark/>
          </w:tcPr>
          <w:p w14:paraId="6EFC0010" w14:textId="0EE88753" w:rsidR="008C676E" w:rsidRDefault="008C676E">
            <w:pPr>
              <w:spacing w:after="0" w:line="240" w:lineRule="auto"/>
              <w:jc w:val="center"/>
              <w:rPr>
                <w:rFonts w:ascii="Arial" w:eastAsia="Times New Roman" w:hAnsi="Arial" w:cs="Arial"/>
                <w:sz w:val="16"/>
                <w:szCs w:val="16"/>
                <w:lang w:eastAsia="en-GB"/>
              </w:rPr>
            </w:pPr>
          </w:p>
        </w:tc>
        <w:tc>
          <w:tcPr>
            <w:tcW w:w="1104" w:type="dxa"/>
            <w:tcBorders>
              <w:top w:val="single" w:sz="4" w:space="0" w:color="auto"/>
              <w:left w:val="nil"/>
              <w:bottom w:val="single" w:sz="4" w:space="0" w:color="auto"/>
              <w:right w:val="nil"/>
            </w:tcBorders>
            <w:vAlign w:val="bottom"/>
            <w:hideMark/>
          </w:tcPr>
          <w:p w14:paraId="549B66D7"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(5.0)</w:t>
            </w:r>
          </w:p>
        </w:tc>
        <w:tc>
          <w:tcPr>
            <w:tcW w:w="1306" w:type="dxa"/>
            <w:tcBorders>
              <w:top w:val="single" w:sz="4" w:space="0" w:color="auto"/>
              <w:left w:val="nil"/>
              <w:bottom w:val="single" w:sz="4" w:space="0" w:color="auto"/>
              <w:right w:val="nil"/>
            </w:tcBorders>
            <w:shd w:val="clear" w:color="auto" w:fill="FFFFFF" w:themeFill="background1"/>
            <w:vAlign w:val="bottom"/>
            <w:hideMark/>
          </w:tcPr>
          <w:p w14:paraId="68C517DA"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14.6</w:t>
            </w:r>
          </w:p>
        </w:tc>
        <w:tc>
          <w:tcPr>
            <w:tcW w:w="903" w:type="dxa"/>
            <w:tcBorders>
              <w:top w:val="single" w:sz="4" w:space="0" w:color="auto"/>
              <w:left w:val="nil"/>
              <w:bottom w:val="single" w:sz="4" w:space="0" w:color="auto"/>
              <w:right w:val="nil"/>
            </w:tcBorders>
            <w:shd w:val="clear" w:color="auto" w:fill="FFFFFF" w:themeFill="background1"/>
            <w:vAlign w:val="bottom"/>
            <w:hideMark/>
          </w:tcPr>
          <w:p w14:paraId="6C30E68D"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9.6</w:t>
            </w:r>
          </w:p>
        </w:tc>
        <w:tc>
          <w:tcPr>
            <w:tcW w:w="1105" w:type="dxa"/>
            <w:tcBorders>
              <w:top w:val="single" w:sz="4" w:space="0" w:color="auto"/>
              <w:left w:val="nil"/>
              <w:bottom w:val="single" w:sz="4" w:space="0" w:color="auto"/>
              <w:right w:val="nil"/>
            </w:tcBorders>
            <w:shd w:val="clear" w:color="auto" w:fill="FFFFFF" w:themeFill="background1"/>
            <w:vAlign w:val="bottom"/>
            <w:hideMark/>
          </w:tcPr>
          <w:p w14:paraId="2B099FB1"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1252" w:type="dxa"/>
            <w:tcBorders>
              <w:top w:val="single" w:sz="4" w:space="0" w:color="auto"/>
              <w:left w:val="nil"/>
              <w:bottom w:val="single" w:sz="4" w:space="0" w:color="auto"/>
              <w:right w:val="nil"/>
            </w:tcBorders>
            <w:shd w:val="clear" w:color="auto" w:fill="FFFFFF" w:themeFill="background1"/>
            <w:vAlign w:val="bottom"/>
            <w:hideMark/>
          </w:tcPr>
          <w:p w14:paraId="2B401581"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957" w:type="dxa"/>
            <w:tcBorders>
              <w:top w:val="single" w:sz="4" w:space="0" w:color="auto"/>
              <w:left w:val="nil"/>
              <w:bottom w:val="single" w:sz="4" w:space="0" w:color="auto"/>
              <w:right w:val="nil"/>
            </w:tcBorders>
            <w:shd w:val="clear" w:color="auto" w:fill="FFFFFF" w:themeFill="background1"/>
            <w:vAlign w:val="bottom"/>
            <w:hideMark/>
          </w:tcPr>
          <w:p w14:paraId="5485C549"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6.4</w:t>
            </w:r>
          </w:p>
        </w:tc>
      </w:tr>
      <w:tr w:rsidR="008C676E" w14:paraId="4844AFAE" w14:textId="77777777" w:rsidTr="008C676E">
        <w:trPr>
          <w:trHeight w:val="283"/>
        </w:trPr>
        <w:tc>
          <w:tcPr>
            <w:tcW w:w="2410" w:type="dxa"/>
            <w:noWrap/>
            <w:vAlign w:val="center"/>
            <w:hideMark/>
          </w:tcPr>
          <w:p w14:paraId="184D0667"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Finance costs</w:t>
            </w:r>
          </w:p>
        </w:tc>
        <w:tc>
          <w:tcPr>
            <w:tcW w:w="709" w:type="dxa"/>
            <w:vAlign w:val="bottom"/>
            <w:hideMark/>
          </w:tcPr>
          <w:p w14:paraId="5DFB5DEE" w14:textId="099C348D" w:rsidR="008C676E" w:rsidRDefault="008C676E">
            <w:pPr>
              <w:spacing w:after="0" w:line="240" w:lineRule="auto"/>
              <w:jc w:val="center"/>
              <w:rPr>
                <w:rFonts w:ascii="Arial" w:eastAsia="Times New Roman" w:hAnsi="Arial" w:cs="Arial"/>
                <w:sz w:val="16"/>
                <w:szCs w:val="16"/>
                <w:lang w:eastAsia="en-GB"/>
              </w:rPr>
            </w:pPr>
          </w:p>
        </w:tc>
        <w:tc>
          <w:tcPr>
            <w:tcW w:w="1104" w:type="dxa"/>
            <w:vAlign w:val="bottom"/>
            <w:hideMark/>
          </w:tcPr>
          <w:p w14:paraId="0F4F5C5D"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(11.8)</w:t>
            </w:r>
          </w:p>
        </w:tc>
        <w:tc>
          <w:tcPr>
            <w:tcW w:w="1306" w:type="dxa"/>
            <w:shd w:val="clear" w:color="auto" w:fill="FFFFFF" w:themeFill="background1"/>
            <w:vAlign w:val="bottom"/>
            <w:hideMark/>
          </w:tcPr>
          <w:p w14:paraId="72971AA6"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(6.8)</w:t>
            </w:r>
          </w:p>
        </w:tc>
        <w:tc>
          <w:tcPr>
            <w:tcW w:w="903" w:type="dxa"/>
            <w:shd w:val="clear" w:color="auto" w:fill="FFFFFF" w:themeFill="background1"/>
            <w:vAlign w:val="bottom"/>
            <w:hideMark/>
          </w:tcPr>
          <w:p w14:paraId="29E63B5B"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(18.6)</w:t>
            </w:r>
          </w:p>
        </w:tc>
        <w:tc>
          <w:tcPr>
            <w:tcW w:w="1105" w:type="dxa"/>
            <w:shd w:val="clear" w:color="auto" w:fill="FFFFFF" w:themeFill="background1"/>
            <w:vAlign w:val="bottom"/>
            <w:hideMark/>
          </w:tcPr>
          <w:p w14:paraId="007FDF04"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1252" w:type="dxa"/>
            <w:shd w:val="clear" w:color="auto" w:fill="FFFFFF" w:themeFill="background1"/>
            <w:vAlign w:val="bottom"/>
            <w:hideMark/>
          </w:tcPr>
          <w:p w14:paraId="449B3E78"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957" w:type="dxa"/>
            <w:shd w:val="clear" w:color="auto" w:fill="FFFFFF" w:themeFill="background1"/>
            <w:vAlign w:val="bottom"/>
            <w:hideMark/>
          </w:tcPr>
          <w:p w14:paraId="12B86D45"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(10.7)</w:t>
            </w:r>
          </w:p>
        </w:tc>
      </w:tr>
      <w:tr w:rsidR="008C676E" w14:paraId="7A53869A" w14:textId="77777777" w:rsidTr="008C676E">
        <w:trPr>
          <w:trHeight w:val="283"/>
        </w:trPr>
        <w:tc>
          <w:tcPr>
            <w:tcW w:w="2410" w:type="dxa"/>
            <w:tcBorders>
              <w:top w:val="nil"/>
              <w:left w:val="nil"/>
              <w:bottom w:val="single" w:sz="4" w:space="0" w:color="auto"/>
              <w:right w:val="nil"/>
            </w:tcBorders>
            <w:noWrap/>
            <w:vAlign w:val="center"/>
            <w:hideMark/>
          </w:tcPr>
          <w:p w14:paraId="0E148838"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Exceptional finance costs</w:t>
            </w:r>
          </w:p>
        </w:tc>
        <w:tc>
          <w:tcPr>
            <w:tcW w:w="709" w:type="dxa"/>
            <w:tcBorders>
              <w:top w:val="nil"/>
              <w:left w:val="nil"/>
              <w:bottom w:val="single" w:sz="4" w:space="0" w:color="auto"/>
              <w:right w:val="nil"/>
            </w:tcBorders>
            <w:vAlign w:val="bottom"/>
            <w:hideMark/>
          </w:tcPr>
          <w:p w14:paraId="44BA964C" w14:textId="4898BDF1" w:rsidR="008C676E" w:rsidRDefault="008C676E">
            <w:pPr>
              <w:spacing w:after="0" w:line="240" w:lineRule="auto"/>
              <w:jc w:val="center"/>
              <w:rPr>
                <w:rFonts w:ascii="Arial" w:eastAsia="Times New Roman" w:hAnsi="Arial" w:cs="Arial"/>
                <w:sz w:val="16"/>
                <w:szCs w:val="16"/>
                <w:lang w:eastAsia="en-GB"/>
              </w:rPr>
            </w:pPr>
          </w:p>
        </w:tc>
        <w:tc>
          <w:tcPr>
            <w:tcW w:w="1104" w:type="dxa"/>
            <w:tcBorders>
              <w:top w:val="nil"/>
              <w:left w:val="nil"/>
              <w:bottom w:val="single" w:sz="4" w:space="0" w:color="auto"/>
              <w:right w:val="nil"/>
            </w:tcBorders>
            <w:vAlign w:val="bottom"/>
            <w:hideMark/>
          </w:tcPr>
          <w:p w14:paraId="4524C62A"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(0.1)</w:t>
            </w:r>
          </w:p>
        </w:tc>
        <w:tc>
          <w:tcPr>
            <w:tcW w:w="1306" w:type="dxa"/>
            <w:tcBorders>
              <w:top w:val="nil"/>
              <w:left w:val="nil"/>
              <w:bottom w:val="single" w:sz="4" w:space="0" w:color="auto"/>
              <w:right w:val="nil"/>
            </w:tcBorders>
            <w:shd w:val="clear" w:color="auto" w:fill="FFFFFF" w:themeFill="background1"/>
            <w:vAlign w:val="bottom"/>
            <w:hideMark/>
          </w:tcPr>
          <w:p w14:paraId="2ED309F5"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(1.8)</w:t>
            </w:r>
          </w:p>
        </w:tc>
        <w:tc>
          <w:tcPr>
            <w:tcW w:w="903" w:type="dxa"/>
            <w:tcBorders>
              <w:top w:val="nil"/>
              <w:left w:val="nil"/>
              <w:bottom w:val="single" w:sz="4" w:space="0" w:color="auto"/>
              <w:right w:val="nil"/>
            </w:tcBorders>
            <w:shd w:val="clear" w:color="auto" w:fill="FFFFFF" w:themeFill="background1"/>
            <w:vAlign w:val="bottom"/>
            <w:hideMark/>
          </w:tcPr>
          <w:p w14:paraId="7131C787"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(1.9)</w:t>
            </w:r>
          </w:p>
        </w:tc>
        <w:tc>
          <w:tcPr>
            <w:tcW w:w="1105" w:type="dxa"/>
            <w:tcBorders>
              <w:top w:val="nil"/>
              <w:left w:val="nil"/>
              <w:bottom w:val="single" w:sz="4" w:space="0" w:color="auto"/>
              <w:right w:val="nil"/>
            </w:tcBorders>
            <w:shd w:val="clear" w:color="auto" w:fill="FFFFFF" w:themeFill="background1"/>
            <w:vAlign w:val="bottom"/>
            <w:hideMark/>
          </w:tcPr>
          <w:p w14:paraId="1DC089D8"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1252" w:type="dxa"/>
            <w:tcBorders>
              <w:top w:val="nil"/>
              <w:left w:val="nil"/>
              <w:bottom w:val="single" w:sz="4" w:space="0" w:color="auto"/>
              <w:right w:val="nil"/>
            </w:tcBorders>
            <w:shd w:val="clear" w:color="auto" w:fill="FFFFFF" w:themeFill="background1"/>
            <w:vAlign w:val="bottom"/>
            <w:hideMark/>
          </w:tcPr>
          <w:p w14:paraId="7E74EA6C"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957" w:type="dxa"/>
            <w:tcBorders>
              <w:top w:val="nil"/>
              <w:left w:val="nil"/>
              <w:bottom w:val="single" w:sz="4" w:space="0" w:color="auto"/>
              <w:right w:val="nil"/>
            </w:tcBorders>
            <w:shd w:val="clear" w:color="auto" w:fill="FFFFFF" w:themeFill="background1"/>
            <w:vAlign w:val="bottom"/>
            <w:hideMark/>
          </w:tcPr>
          <w:p w14:paraId="665231F6"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(2.6)</w:t>
            </w:r>
          </w:p>
        </w:tc>
      </w:tr>
      <w:tr w:rsidR="008C676E" w14:paraId="778046AC" w14:textId="77777777" w:rsidTr="008C676E">
        <w:trPr>
          <w:trHeight w:val="283"/>
        </w:trPr>
        <w:tc>
          <w:tcPr>
            <w:tcW w:w="2410" w:type="dxa"/>
            <w:tcBorders>
              <w:top w:val="single" w:sz="4" w:space="0" w:color="auto"/>
              <w:left w:val="nil"/>
              <w:bottom w:val="single" w:sz="4" w:space="0" w:color="auto"/>
              <w:right w:val="nil"/>
            </w:tcBorders>
            <w:noWrap/>
            <w:vAlign w:val="center"/>
            <w:hideMark/>
          </w:tcPr>
          <w:p w14:paraId="715FB2C9" w14:textId="77777777" w:rsidR="008C676E" w:rsidRDefault="008C676E">
            <w:pPr>
              <w:spacing w:after="0" w:line="240" w:lineRule="auto"/>
              <w:rPr>
                <w:rFonts w:ascii="Arial" w:eastAsia="Times New Roman" w:hAnsi="Arial" w:cs="Arial"/>
                <w:b/>
                <w:bCs/>
                <w:sz w:val="16"/>
                <w:szCs w:val="16"/>
                <w:lang w:eastAsia="en-GB"/>
              </w:rPr>
            </w:pPr>
            <w:r>
              <w:rPr>
                <w:rFonts w:ascii="Arial" w:eastAsia="Times New Roman" w:hAnsi="Arial" w:cs="Arial"/>
                <w:b/>
                <w:bCs/>
                <w:sz w:val="16"/>
                <w:szCs w:val="16"/>
                <w:lang w:eastAsia="en-GB"/>
              </w:rPr>
              <w:t>Total finance costs</w:t>
            </w:r>
          </w:p>
        </w:tc>
        <w:tc>
          <w:tcPr>
            <w:tcW w:w="709" w:type="dxa"/>
            <w:tcBorders>
              <w:top w:val="single" w:sz="4" w:space="0" w:color="auto"/>
              <w:left w:val="nil"/>
              <w:bottom w:val="single" w:sz="4" w:space="0" w:color="auto"/>
              <w:right w:val="nil"/>
            </w:tcBorders>
            <w:vAlign w:val="bottom"/>
          </w:tcPr>
          <w:p w14:paraId="7F5AB822" w14:textId="77777777" w:rsidR="008C676E" w:rsidRDefault="008C676E">
            <w:pPr>
              <w:spacing w:after="0" w:line="240" w:lineRule="auto"/>
              <w:jc w:val="center"/>
              <w:rPr>
                <w:rFonts w:ascii="Arial" w:eastAsia="Times New Roman" w:hAnsi="Arial" w:cs="Arial"/>
                <w:b/>
                <w:bCs/>
                <w:sz w:val="16"/>
                <w:szCs w:val="16"/>
                <w:lang w:eastAsia="en-GB"/>
              </w:rPr>
            </w:pPr>
          </w:p>
        </w:tc>
        <w:tc>
          <w:tcPr>
            <w:tcW w:w="1104" w:type="dxa"/>
            <w:tcBorders>
              <w:top w:val="single" w:sz="4" w:space="0" w:color="auto"/>
              <w:left w:val="nil"/>
              <w:bottom w:val="single" w:sz="4" w:space="0" w:color="auto"/>
              <w:right w:val="nil"/>
            </w:tcBorders>
            <w:vAlign w:val="bottom"/>
            <w:hideMark/>
          </w:tcPr>
          <w:p w14:paraId="5656FEF0"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(11.9)</w:t>
            </w:r>
          </w:p>
        </w:tc>
        <w:tc>
          <w:tcPr>
            <w:tcW w:w="1306" w:type="dxa"/>
            <w:tcBorders>
              <w:top w:val="single" w:sz="4" w:space="0" w:color="auto"/>
              <w:left w:val="nil"/>
              <w:bottom w:val="single" w:sz="4" w:space="0" w:color="auto"/>
              <w:right w:val="nil"/>
            </w:tcBorders>
            <w:shd w:val="clear" w:color="auto" w:fill="FFFFFF" w:themeFill="background1"/>
            <w:vAlign w:val="bottom"/>
            <w:hideMark/>
          </w:tcPr>
          <w:p w14:paraId="627F3080"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(8.6)</w:t>
            </w:r>
          </w:p>
        </w:tc>
        <w:tc>
          <w:tcPr>
            <w:tcW w:w="903" w:type="dxa"/>
            <w:tcBorders>
              <w:top w:val="single" w:sz="4" w:space="0" w:color="auto"/>
              <w:left w:val="nil"/>
              <w:bottom w:val="single" w:sz="4" w:space="0" w:color="auto"/>
              <w:right w:val="nil"/>
            </w:tcBorders>
            <w:shd w:val="clear" w:color="auto" w:fill="FFFFFF" w:themeFill="background1"/>
            <w:vAlign w:val="bottom"/>
            <w:hideMark/>
          </w:tcPr>
          <w:p w14:paraId="44748D3E"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(20.5)</w:t>
            </w:r>
          </w:p>
        </w:tc>
        <w:tc>
          <w:tcPr>
            <w:tcW w:w="1105" w:type="dxa"/>
            <w:tcBorders>
              <w:top w:val="single" w:sz="4" w:space="0" w:color="auto"/>
              <w:left w:val="nil"/>
              <w:bottom w:val="single" w:sz="4" w:space="0" w:color="auto"/>
              <w:right w:val="nil"/>
            </w:tcBorders>
            <w:shd w:val="clear" w:color="auto" w:fill="FFFFFF" w:themeFill="background1"/>
            <w:vAlign w:val="bottom"/>
            <w:hideMark/>
          </w:tcPr>
          <w:p w14:paraId="465B6F32"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252" w:type="dxa"/>
            <w:tcBorders>
              <w:top w:val="single" w:sz="4" w:space="0" w:color="auto"/>
              <w:left w:val="nil"/>
              <w:bottom w:val="single" w:sz="4" w:space="0" w:color="auto"/>
              <w:right w:val="nil"/>
            </w:tcBorders>
            <w:shd w:val="clear" w:color="auto" w:fill="FFFFFF" w:themeFill="background1"/>
            <w:vAlign w:val="bottom"/>
            <w:hideMark/>
          </w:tcPr>
          <w:p w14:paraId="3CC5ABAE"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957" w:type="dxa"/>
            <w:tcBorders>
              <w:top w:val="single" w:sz="4" w:space="0" w:color="auto"/>
              <w:left w:val="nil"/>
              <w:bottom w:val="single" w:sz="4" w:space="0" w:color="auto"/>
              <w:right w:val="nil"/>
            </w:tcBorders>
            <w:shd w:val="clear" w:color="auto" w:fill="FFFFFF" w:themeFill="background1"/>
            <w:vAlign w:val="bottom"/>
            <w:hideMark/>
          </w:tcPr>
          <w:p w14:paraId="0657F5E0"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(13.3)</w:t>
            </w:r>
          </w:p>
        </w:tc>
      </w:tr>
      <w:tr w:rsidR="008C676E" w14:paraId="74995645" w14:textId="77777777" w:rsidTr="008C676E">
        <w:trPr>
          <w:trHeight w:val="283"/>
        </w:trPr>
        <w:tc>
          <w:tcPr>
            <w:tcW w:w="2410" w:type="dxa"/>
            <w:tcBorders>
              <w:top w:val="single" w:sz="4" w:space="0" w:color="auto"/>
              <w:left w:val="nil"/>
              <w:bottom w:val="nil"/>
              <w:right w:val="nil"/>
            </w:tcBorders>
            <w:noWrap/>
            <w:vAlign w:val="center"/>
            <w:hideMark/>
          </w:tcPr>
          <w:p w14:paraId="0F242C73" w14:textId="77777777" w:rsidR="008C676E" w:rsidRDefault="008C676E">
            <w:pPr>
              <w:spacing w:after="0" w:line="240" w:lineRule="auto"/>
              <w:rPr>
                <w:rFonts w:ascii="Arial" w:eastAsia="Times New Roman" w:hAnsi="Arial" w:cs="Arial"/>
                <w:b/>
                <w:bCs/>
                <w:sz w:val="16"/>
                <w:szCs w:val="16"/>
                <w:lang w:eastAsia="en-GB"/>
              </w:rPr>
            </w:pPr>
            <w:r>
              <w:rPr>
                <w:rFonts w:ascii="Arial" w:eastAsia="Times New Roman" w:hAnsi="Arial" w:cs="Arial"/>
                <w:b/>
                <w:bCs/>
                <w:sz w:val="16"/>
                <w:szCs w:val="16"/>
                <w:lang w:eastAsia="en-GB"/>
              </w:rPr>
              <w:t>(Loss)/profit before tax</w:t>
            </w:r>
          </w:p>
        </w:tc>
        <w:tc>
          <w:tcPr>
            <w:tcW w:w="709" w:type="dxa"/>
            <w:tcBorders>
              <w:top w:val="single" w:sz="4" w:space="0" w:color="auto"/>
              <w:left w:val="nil"/>
              <w:bottom w:val="nil"/>
              <w:right w:val="nil"/>
            </w:tcBorders>
            <w:vAlign w:val="bottom"/>
          </w:tcPr>
          <w:p w14:paraId="79C9E3E8" w14:textId="77777777" w:rsidR="008C676E" w:rsidRDefault="008C676E">
            <w:pPr>
              <w:spacing w:after="0" w:line="240" w:lineRule="auto"/>
              <w:jc w:val="center"/>
              <w:rPr>
                <w:rFonts w:ascii="Arial" w:eastAsia="Times New Roman" w:hAnsi="Arial" w:cs="Arial"/>
                <w:b/>
                <w:bCs/>
                <w:sz w:val="16"/>
                <w:szCs w:val="16"/>
                <w:lang w:eastAsia="en-GB"/>
              </w:rPr>
            </w:pPr>
          </w:p>
        </w:tc>
        <w:tc>
          <w:tcPr>
            <w:tcW w:w="1104" w:type="dxa"/>
            <w:tcBorders>
              <w:top w:val="single" w:sz="4" w:space="0" w:color="auto"/>
              <w:left w:val="nil"/>
              <w:bottom w:val="nil"/>
              <w:right w:val="nil"/>
            </w:tcBorders>
            <w:vAlign w:val="bottom"/>
            <w:hideMark/>
          </w:tcPr>
          <w:p w14:paraId="51393AF5"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(16.9)</w:t>
            </w:r>
          </w:p>
        </w:tc>
        <w:tc>
          <w:tcPr>
            <w:tcW w:w="1306" w:type="dxa"/>
            <w:tcBorders>
              <w:top w:val="single" w:sz="4" w:space="0" w:color="auto"/>
              <w:left w:val="nil"/>
              <w:bottom w:val="nil"/>
              <w:right w:val="nil"/>
            </w:tcBorders>
            <w:shd w:val="clear" w:color="auto" w:fill="FFFFFF" w:themeFill="background1"/>
            <w:vAlign w:val="bottom"/>
            <w:hideMark/>
          </w:tcPr>
          <w:p w14:paraId="1B97B6A0"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6.0</w:t>
            </w:r>
          </w:p>
        </w:tc>
        <w:tc>
          <w:tcPr>
            <w:tcW w:w="903" w:type="dxa"/>
            <w:tcBorders>
              <w:top w:val="single" w:sz="4" w:space="0" w:color="auto"/>
              <w:left w:val="nil"/>
              <w:bottom w:val="nil"/>
              <w:right w:val="nil"/>
            </w:tcBorders>
            <w:shd w:val="clear" w:color="auto" w:fill="FFFFFF" w:themeFill="background1"/>
            <w:vAlign w:val="bottom"/>
            <w:hideMark/>
          </w:tcPr>
          <w:p w14:paraId="2645E800"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(10.9)</w:t>
            </w:r>
          </w:p>
        </w:tc>
        <w:tc>
          <w:tcPr>
            <w:tcW w:w="1105" w:type="dxa"/>
            <w:tcBorders>
              <w:top w:val="single" w:sz="4" w:space="0" w:color="auto"/>
              <w:left w:val="nil"/>
              <w:bottom w:val="nil"/>
              <w:right w:val="nil"/>
            </w:tcBorders>
            <w:shd w:val="clear" w:color="auto" w:fill="FFFFFF" w:themeFill="background1"/>
            <w:vAlign w:val="bottom"/>
            <w:hideMark/>
          </w:tcPr>
          <w:p w14:paraId="62E2139A"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1252" w:type="dxa"/>
            <w:tcBorders>
              <w:top w:val="single" w:sz="4" w:space="0" w:color="auto"/>
              <w:left w:val="nil"/>
              <w:bottom w:val="nil"/>
              <w:right w:val="nil"/>
            </w:tcBorders>
            <w:shd w:val="clear" w:color="auto" w:fill="FFFFFF" w:themeFill="background1"/>
            <w:vAlign w:val="bottom"/>
            <w:hideMark/>
          </w:tcPr>
          <w:p w14:paraId="1616DF5A"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957" w:type="dxa"/>
            <w:tcBorders>
              <w:top w:val="single" w:sz="4" w:space="0" w:color="auto"/>
              <w:left w:val="nil"/>
              <w:bottom w:val="nil"/>
              <w:right w:val="nil"/>
            </w:tcBorders>
            <w:shd w:val="clear" w:color="auto" w:fill="FFFFFF" w:themeFill="background1"/>
            <w:vAlign w:val="bottom"/>
            <w:hideMark/>
          </w:tcPr>
          <w:p w14:paraId="06834276"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(6.9)</w:t>
            </w:r>
          </w:p>
        </w:tc>
      </w:tr>
      <w:tr w:rsidR="008C676E" w14:paraId="7020A60F" w14:textId="77777777" w:rsidTr="008C676E">
        <w:trPr>
          <w:trHeight w:val="283"/>
        </w:trPr>
        <w:tc>
          <w:tcPr>
            <w:tcW w:w="2410" w:type="dxa"/>
            <w:tcBorders>
              <w:top w:val="nil"/>
              <w:left w:val="nil"/>
              <w:bottom w:val="single" w:sz="4" w:space="0" w:color="auto"/>
              <w:right w:val="nil"/>
            </w:tcBorders>
            <w:noWrap/>
            <w:vAlign w:val="center"/>
            <w:hideMark/>
          </w:tcPr>
          <w:p w14:paraId="398F981E"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Income tax credit/(charge)</w:t>
            </w:r>
          </w:p>
        </w:tc>
        <w:tc>
          <w:tcPr>
            <w:tcW w:w="709" w:type="dxa"/>
            <w:tcBorders>
              <w:top w:val="nil"/>
              <w:left w:val="nil"/>
              <w:bottom w:val="single" w:sz="4" w:space="0" w:color="auto"/>
              <w:right w:val="nil"/>
            </w:tcBorders>
            <w:vAlign w:val="bottom"/>
            <w:hideMark/>
          </w:tcPr>
          <w:p w14:paraId="54CB84E6" w14:textId="26BBB3A6" w:rsidR="008C676E" w:rsidRDefault="004B35C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04" w:type="dxa"/>
            <w:tcBorders>
              <w:top w:val="nil"/>
              <w:left w:val="nil"/>
              <w:bottom w:val="single" w:sz="4" w:space="0" w:color="auto"/>
              <w:right w:val="nil"/>
            </w:tcBorders>
            <w:vAlign w:val="bottom"/>
            <w:hideMark/>
          </w:tcPr>
          <w:p w14:paraId="1EB648C5"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3.2</w:t>
            </w:r>
          </w:p>
        </w:tc>
        <w:tc>
          <w:tcPr>
            <w:tcW w:w="1306" w:type="dxa"/>
            <w:tcBorders>
              <w:top w:val="nil"/>
              <w:left w:val="nil"/>
              <w:bottom w:val="single" w:sz="4" w:space="0" w:color="auto"/>
              <w:right w:val="nil"/>
            </w:tcBorders>
            <w:shd w:val="clear" w:color="auto" w:fill="FFFFFF" w:themeFill="background1"/>
            <w:vAlign w:val="bottom"/>
            <w:hideMark/>
          </w:tcPr>
          <w:p w14:paraId="52125F8B"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(2.5)</w:t>
            </w:r>
          </w:p>
        </w:tc>
        <w:tc>
          <w:tcPr>
            <w:tcW w:w="903" w:type="dxa"/>
            <w:tcBorders>
              <w:top w:val="nil"/>
              <w:left w:val="nil"/>
              <w:bottom w:val="single" w:sz="4" w:space="0" w:color="auto"/>
              <w:right w:val="nil"/>
            </w:tcBorders>
            <w:shd w:val="clear" w:color="auto" w:fill="FFFFFF" w:themeFill="background1"/>
            <w:vAlign w:val="bottom"/>
            <w:hideMark/>
          </w:tcPr>
          <w:p w14:paraId="25E83742"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0.7</w:t>
            </w:r>
          </w:p>
        </w:tc>
        <w:tc>
          <w:tcPr>
            <w:tcW w:w="1105" w:type="dxa"/>
            <w:tcBorders>
              <w:top w:val="nil"/>
              <w:left w:val="nil"/>
              <w:bottom w:val="single" w:sz="4" w:space="0" w:color="auto"/>
              <w:right w:val="nil"/>
            </w:tcBorders>
            <w:shd w:val="clear" w:color="auto" w:fill="FFFFFF" w:themeFill="background1"/>
            <w:vAlign w:val="bottom"/>
            <w:hideMark/>
          </w:tcPr>
          <w:p w14:paraId="589C97B2"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1252" w:type="dxa"/>
            <w:tcBorders>
              <w:top w:val="nil"/>
              <w:left w:val="nil"/>
              <w:bottom w:val="single" w:sz="4" w:space="0" w:color="auto"/>
              <w:right w:val="nil"/>
            </w:tcBorders>
            <w:shd w:val="clear" w:color="auto" w:fill="FFFFFF" w:themeFill="background1"/>
            <w:vAlign w:val="bottom"/>
            <w:hideMark/>
          </w:tcPr>
          <w:p w14:paraId="0A7474C3"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957" w:type="dxa"/>
            <w:tcBorders>
              <w:top w:val="nil"/>
              <w:left w:val="nil"/>
              <w:bottom w:val="single" w:sz="4" w:space="0" w:color="auto"/>
              <w:right w:val="nil"/>
            </w:tcBorders>
            <w:shd w:val="clear" w:color="auto" w:fill="FFFFFF" w:themeFill="background1"/>
            <w:vAlign w:val="bottom"/>
            <w:hideMark/>
          </w:tcPr>
          <w:p w14:paraId="30B0224D"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3.1</w:t>
            </w:r>
          </w:p>
        </w:tc>
      </w:tr>
      <w:tr w:rsidR="008C676E" w14:paraId="16A1FD76" w14:textId="77777777" w:rsidTr="008C676E">
        <w:trPr>
          <w:trHeight w:val="283"/>
        </w:trPr>
        <w:tc>
          <w:tcPr>
            <w:tcW w:w="2410" w:type="dxa"/>
            <w:tcBorders>
              <w:top w:val="single" w:sz="4" w:space="0" w:color="auto"/>
              <w:left w:val="nil"/>
              <w:bottom w:val="single" w:sz="4" w:space="0" w:color="auto"/>
              <w:right w:val="nil"/>
            </w:tcBorders>
            <w:vAlign w:val="center"/>
            <w:hideMark/>
          </w:tcPr>
          <w:p w14:paraId="2F8F6F3B" w14:textId="77777777" w:rsidR="008C676E" w:rsidRDefault="008C676E">
            <w:pPr>
              <w:spacing w:after="0" w:line="240" w:lineRule="auto"/>
              <w:rPr>
                <w:rFonts w:ascii="Arial" w:eastAsia="Times New Roman" w:hAnsi="Arial" w:cs="Arial"/>
                <w:b/>
                <w:bCs/>
                <w:sz w:val="16"/>
                <w:szCs w:val="16"/>
                <w:lang w:eastAsia="en-GB"/>
              </w:rPr>
            </w:pPr>
            <w:r>
              <w:rPr>
                <w:rFonts w:ascii="Arial" w:eastAsia="Times New Roman" w:hAnsi="Arial" w:cs="Arial"/>
                <w:b/>
                <w:bCs/>
                <w:sz w:val="16"/>
                <w:szCs w:val="16"/>
                <w:lang w:eastAsia="en-GB"/>
              </w:rPr>
              <w:t>(Loss)/profit for the year</w:t>
            </w:r>
          </w:p>
        </w:tc>
        <w:tc>
          <w:tcPr>
            <w:tcW w:w="709" w:type="dxa"/>
            <w:tcBorders>
              <w:top w:val="single" w:sz="4" w:space="0" w:color="auto"/>
              <w:left w:val="nil"/>
              <w:bottom w:val="single" w:sz="4" w:space="0" w:color="auto"/>
              <w:right w:val="nil"/>
            </w:tcBorders>
            <w:vAlign w:val="bottom"/>
          </w:tcPr>
          <w:p w14:paraId="2CAB05EC" w14:textId="77777777" w:rsidR="008C676E" w:rsidRDefault="008C676E">
            <w:pPr>
              <w:spacing w:after="0" w:line="240" w:lineRule="auto"/>
              <w:jc w:val="center"/>
              <w:rPr>
                <w:rFonts w:ascii="Arial" w:eastAsia="Times New Roman" w:hAnsi="Arial" w:cs="Arial"/>
                <w:b/>
                <w:bCs/>
                <w:sz w:val="16"/>
                <w:szCs w:val="16"/>
                <w:lang w:eastAsia="en-GB"/>
              </w:rPr>
            </w:pPr>
          </w:p>
        </w:tc>
        <w:tc>
          <w:tcPr>
            <w:tcW w:w="1104" w:type="dxa"/>
            <w:tcBorders>
              <w:top w:val="single" w:sz="4" w:space="0" w:color="auto"/>
              <w:left w:val="nil"/>
              <w:bottom w:val="single" w:sz="4" w:space="0" w:color="auto"/>
              <w:right w:val="nil"/>
            </w:tcBorders>
            <w:vAlign w:val="bottom"/>
            <w:hideMark/>
          </w:tcPr>
          <w:p w14:paraId="380F0042"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(13.7)</w:t>
            </w:r>
          </w:p>
        </w:tc>
        <w:tc>
          <w:tcPr>
            <w:tcW w:w="1306" w:type="dxa"/>
            <w:tcBorders>
              <w:top w:val="single" w:sz="4" w:space="0" w:color="auto"/>
              <w:left w:val="nil"/>
              <w:bottom w:val="single" w:sz="4" w:space="0" w:color="auto"/>
              <w:right w:val="nil"/>
            </w:tcBorders>
            <w:vAlign w:val="bottom"/>
            <w:hideMark/>
          </w:tcPr>
          <w:p w14:paraId="3289AF6E"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3.5</w:t>
            </w:r>
          </w:p>
        </w:tc>
        <w:tc>
          <w:tcPr>
            <w:tcW w:w="903" w:type="dxa"/>
            <w:tcBorders>
              <w:top w:val="single" w:sz="4" w:space="0" w:color="auto"/>
              <w:left w:val="nil"/>
              <w:bottom w:val="single" w:sz="4" w:space="0" w:color="auto"/>
              <w:right w:val="nil"/>
            </w:tcBorders>
            <w:vAlign w:val="bottom"/>
            <w:hideMark/>
          </w:tcPr>
          <w:p w14:paraId="671BE56D"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(10.2)</w:t>
            </w:r>
          </w:p>
        </w:tc>
        <w:tc>
          <w:tcPr>
            <w:tcW w:w="1105" w:type="dxa"/>
            <w:tcBorders>
              <w:top w:val="single" w:sz="4" w:space="0" w:color="auto"/>
              <w:left w:val="nil"/>
              <w:bottom w:val="single" w:sz="4" w:space="0" w:color="auto"/>
              <w:right w:val="nil"/>
            </w:tcBorders>
            <w:vAlign w:val="bottom"/>
            <w:hideMark/>
          </w:tcPr>
          <w:p w14:paraId="343D77F7" w14:textId="09E7ACC4"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008D05A6">
              <w:rPr>
                <w:rFonts w:ascii="Arial" w:eastAsia="Times New Roman" w:hAnsi="Arial" w:cs="Arial"/>
                <w:sz w:val="16"/>
                <w:szCs w:val="16"/>
                <w:lang w:eastAsia="en-GB"/>
              </w:rPr>
              <w:t>7</w:t>
            </w:r>
            <w:r>
              <w:rPr>
                <w:rFonts w:ascii="Arial" w:eastAsia="Times New Roman" w:hAnsi="Arial" w:cs="Arial"/>
                <w:sz w:val="16"/>
                <w:szCs w:val="16"/>
                <w:lang w:eastAsia="en-GB"/>
              </w:rPr>
              <w:t>)</w:t>
            </w:r>
          </w:p>
        </w:tc>
        <w:tc>
          <w:tcPr>
            <w:tcW w:w="1252" w:type="dxa"/>
            <w:tcBorders>
              <w:top w:val="single" w:sz="4" w:space="0" w:color="auto"/>
              <w:left w:val="nil"/>
              <w:bottom w:val="single" w:sz="4" w:space="0" w:color="auto"/>
              <w:right w:val="nil"/>
            </w:tcBorders>
            <w:vAlign w:val="bottom"/>
            <w:hideMark/>
          </w:tcPr>
          <w:p w14:paraId="353011C1" w14:textId="17DB9D4B"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w:t>
            </w:r>
            <w:r w:rsidR="008D05A6">
              <w:rPr>
                <w:rFonts w:ascii="Arial" w:eastAsia="Times New Roman" w:hAnsi="Arial" w:cs="Arial"/>
                <w:sz w:val="16"/>
                <w:szCs w:val="16"/>
                <w:lang w:eastAsia="en-GB"/>
              </w:rPr>
              <w:t>1</w:t>
            </w:r>
            <w:r>
              <w:rPr>
                <w:rFonts w:ascii="Arial" w:eastAsia="Times New Roman" w:hAnsi="Arial" w:cs="Arial"/>
                <w:sz w:val="16"/>
                <w:szCs w:val="16"/>
                <w:lang w:eastAsia="en-GB"/>
              </w:rPr>
              <w:t>)</w:t>
            </w:r>
          </w:p>
        </w:tc>
        <w:tc>
          <w:tcPr>
            <w:tcW w:w="957" w:type="dxa"/>
            <w:tcBorders>
              <w:top w:val="single" w:sz="4" w:space="0" w:color="auto"/>
              <w:left w:val="nil"/>
              <w:bottom w:val="single" w:sz="4" w:space="0" w:color="auto"/>
              <w:right w:val="nil"/>
            </w:tcBorders>
            <w:vAlign w:val="bottom"/>
            <w:hideMark/>
          </w:tcPr>
          <w:p w14:paraId="1025D67C"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(3.8)</w:t>
            </w:r>
          </w:p>
        </w:tc>
      </w:tr>
      <w:tr w:rsidR="008C676E" w14:paraId="0BBB1D53" w14:textId="77777777" w:rsidTr="008C676E">
        <w:trPr>
          <w:trHeight w:val="283"/>
        </w:trPr>
        <w:tc>
          <w:tcPr>
            <w:tcW w:w="2410" w:type="dxa"/>
            <w:tcBorders>
              <w:top w:val="single" w:sz="4" w:space="0" w:color="auto"/>
              <w:left w:val="nil"/>
              <w:bottom w:val="single" w:sz="4" w:space="0" w:color="auto"/>
              <w:right w:val="nil"/>
            </w:tcBorders>
            <w:noWrap/>
            <w:vAlign w:val="center"/>
            <w:hideMark/>
          </w:tcPr>
          <w:p w14:paraId="5F854400" w14:textId="77777777" w:rsidR="008C676E" w:rsidRDefault="008C676E">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Other comprehensive income </w:t>
            </w:r>
          </w:p>
        </w:tc>
        <w:tc>
          <w:tcPr>
            <w:tcW w:w="709" w:type="dxa"/>
            <w:tcBorders>
              <w:top w:val="single" w:sz="4" w:space="0" w:color="auto"/>
              <w:left w:val="nil"/>
              <w:bottom w:val="single" w:sz="4" w:space="0" w:color="auto"/>
              <w:right w:val="nil"/>
            </w:tcBorders>
            <w:vAlign w:val="bottom"/>
          </w:tcPr>
          <w:p w14:paraId="168E8D51" w14:textId="77777777" w:rsidR="008C676E" w:rsidRDefault="008C676E">
            <w:pPr>
              <w:spacing w:after="0" w:line="240" w:lineRule="auto"/>
              <w:jc w:val="center"/>
              <w:rPr>
                <w:rFonts w:ascii="Arial" w:eastAsia="Times New Roman" w:hAnsi="Arial" w:cs="Arial"/>
                <w:sz w:val="16"/>
                <w:szCs w:val="16"/>
                <w:lang w:eastAsia="en-GB"/>
              </w:rPr>
            </w:pPr>
          </w:p>
        </w:tc>
        <w:tc>
          <w:tcPr>
            <w:tcW w:w="1104" w:type="dxa"/>
            <w:tcBorders>
              <w:top w:val="single" w:sz="4" w:space="0" w:color="auto"/>
              <w:left w:val="nil"/>
              <w:bottom w:val="single" w:sz="4" w:space="0" w:color="auto"/>
              <w:right w:val="nil"/>
            </w:tcBorders>
            <w:vAlign w:val="bottom"/>
            <w:hideMark/>
          </w:tcPr>
          <w:p w14:paraId="75D023AE"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
        </w:tc>
        <w:tc>
          <w:tcPr>
            <w:tcW w:w="1306" w:type="dxa"/>
            <w:tcBorders>
              <w:top w:val="single" w:sz="4" w:space="0" w:color="auto"/>
              <w:left w:val="nil"/>
              <w:bottom w:val="single" w:sz="4" w:space="0" w:color="auto"/>
              <w:right w:val="nil"/>
            </w:tcBorders>
            <w:vAlign w:val="bottom"/>
            <w:hideMark/>
          </w:tcPr>
          <w:p w14:paraId="4CF5C073"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
        </w:tc>
        <w:tc>
          <w:tcPr>
            <w:tcW w:w="903" w:type="dxa"/>
            <w:tcBorders>
              <w:top w:val="single" w:sz="4" w:space="0" w:color="auto"/>
              <w:left w:val="nil"/>
              <w:bottom w:val="single" w:sz="4" w:space="0" w:color="auto"/>
              <w:right w:val="nil"/>
            </w:tcBorders>
            <w:vAlign w:val="bottom"/>
            <w:hideMark/>
          </w:tcPr>
          <w:p w14:paraId="0AE4C789"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
        </w:tc>
        <w:tc>
          <w:tcPr>
            <w:tcW w:w="1105" w:type="dxa"/>
            <w:tcBorders>
              <w:top w:val="single" w:sz="4" w:space="0" w:color="auto"/>
              <w:left w:val="nil"/>
              <w:bottom w:val="single" w:sz="4" w:space="0" w:color="auto"/>
              <w:right w:val="nil"/>
            </w:tcBorders>
            <w:vAlign w:val="bottom"/>
          </w:tcPr>
          <w:p w14:paraId="05C77863" w14:textId="77777777" w:rsidR="008C676E" w:rsidRDefault="008C676E">
            <w:pPr>
              <w:spacing w:after="0" w:line="240" w:lineRule="auto"/>
              <w:jc w:val="right"/>
              <w:rPr>
                <w:rFonts w:ascii="Arial" w:eastAsia="Times New Roman" w:hAnsi="Arial" w:cs="Arial"/>
                <w:sz w:val="16"/>
                <w:szCs w:val="16"/>
                <w:lang w:eastAsia="en-GB"/>
              </w:rPr>
            </w:pPr>
          </w:p>
        </w:tc>
        <w:tc>
          <w:tcPr>
            <w:tcW w:w="1252" w:type="dxa"/>
            <w:tcBorders>
              <w:top w:val="single" w:sz="4" w:space="0" w:color="auto"/>
              <w:left w:val="nil"/>
              <w:bottom w:val="single" w:sz="4" w:space="0" w:color="auto"/>
              <w:right w:val="nil"/>
            </w:tcBorders>
            <w:vAlign w:val="bottom"/>
          </w:tcPr>
          <w:p w14:paraId="5062287C" w14:textId="77777777" w:rsidR="008C676E" w:rsidRDefault="008C676E">
            <w:pPr>
              <w:spacing w:after="0" w:line="240" w:lineRule="auto"/>
              <w:jc w:val="right"/>
              <w:rPr>
                <w:rFonts w:ascii="Arial" w:eastAsia="Times New Roman" w:hAnsi="Arial" w:cs="Arial"/>
                <w:sz w:val="16"/>
                <w:szCs w:val="16"/>
                <w:lang w:eastAsia="en-GB"/>
              </w:rPr>
            </w:pPr>
          </w:p>
        </w:tc>
        <w:tc>
          <w:tcPr>
            <w:tcW w:w="957" w:type="dxa"/>
            <w:tcBorders>
              <w:top w:val="single" w:sz="4" w:space="0" w:color="auto"/>
              <w:left w:val="nil"/>
              <w:bottom w:val="single" w:sz="4" w:space="0" w:color="auto"/>
              <w:right w:val="nil"/>
            </w:tcBorders>
            <w:vAlign w:val="bottom"/>
            <w:hideMark/>
          </w:tcPr>
          <w:p w14:paraId="60B7F190"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w:t>
            </w:r>
          </w:p>
        </w:tc>
      </w:tr>
      <w:tr w:rsidR="008C676E" w14:paraId="23FB5782" w14:textId="77777777" w:rsidTr="008C676E">
        <w:trPr>
          <w:trHeight w:val="283"/>
        </w:trPr>
        <w:tc>
          <w:tcPr>
            <w:tcW w:w="2410" w:type="dxa"/>
            <w:tcBorders>
              <w:top w:val="nil"/>
              <w:left w:val="nil"/>
              <w:bottom w:val="single" w:sz="4" w:space="0" w:color="auto"/>
              <w:right w:val="nil"/>
            </w:tcBorders>
            <w:noWrap/>
            <w:vAlign w:val="center"/>
            <w:hideMark/>
          </w:tcPr>
          <w:p w14:paraId="24609DDF" w14:textId="77777777" w:rsidR="008C676E" w:rsidRDefault="008C676E">
            <w:pPr>
              <w:spacing w:after="0" w:line="240" w:lineRule="auto"/>
              <w:rPr>
                <w:rFonts w:ascii="Arial" w:eastAsia="Times New Roman" w:hAnsi="Arial" w:cs="Arial"/>
                <w:b/>
                <w:bCs/>
                <w:sz w:val="16"/>
                <w:szCs w:val="16"/>
                <w:lang w:eastAsia="en-GB"/>
              </w:rPr>
            </w:pPr>
            <w:r>
              <w:rPr>
                <w:rFonts w:ascii="Arial" w:eastAsia="Times New Roman" w:hAnsi="Arial" w:cs="Arial"/>
                <w:b/>
                <w:bCs/>
                <w:sz w:val="16"/>
                <w:szCs w:val="16"/>
                <w:lang w:eastAsia="en-GB"/>
              </w:rPr>
              <w:t>Total comprehensive (loss)/profit for the year</w:t>
            </w:r>
          </w:p>
        </w:tc>
        <w:tc>
          <w:tcPr>
            <w:tcW w:w="709" w:type="dxa"/>
            <w:tcBorders>
              <w:top w:val="nil"/>
              <w:left w:val="nil"/>
              <w:bottom w:val="single" w:sz="4" w:space="0" w:color="auto"/>
              <w:right w:val="nil"/>
            </w:tcBorders>
            <w:vAlign w:val="bottom"/>
          </w:tcPr>
          <w:p w14:paraId="299527A4" w14:textId="77777777" w:rsidR="008C676E" w:rsidRDefault="008C676E">
            <w:pPr>
              <w:spacing w:after="0" w:line="240" w:lineRule="auto"/>
              <w:jc w:val="center"/>
              <w:rPr>
                <w:rFonts w:ascii="Arial" w:eastAsia="Times New Roman" w:hAnsi="Arial" w:cs="Arial"/>
                <w:sz w:val="16"/>
                <w:szCs w:val="16"/>
                <w:lang w:eastAsia="en-GB"/>
              </w:rPr>
            </w:pPr>
          </w:p>
        </w:tc>
        <w:tc>
          <w:tcPr>
            <w:tcW w:w="1104" w:type="dxa"/>
            <w:tcBorders>
              <w:top w:val="single" w:sz="4" w:space="0" w:color="auto"/>
              <w:left w:val="nil"/>
              <w:bottom w:val="single" w:sz="4" w:space="0" w:color="auto"/>
              <w:right w:val="nil"/>
            </w:tcBorders>
            <w:vAlign w:val="bottom"/>
            <w:hideMark/>
          </w:tcPr>
          <w:p w14:paraId="5A1E77D2"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(13.7)</w:t>
            </w:r>
          </w:p>
        </w:tc>
        <w:tc>
          <w:tcPr>
            <w:tcW w:w="1306" w:type="dxa"/>
            <w:tcBorders>
              <w:top w:val="single" w:sz="4" w:space="0" w:color="auto"/>
              <w:left w:val="nil"/>
              <w:bottom w:val="single" w:sz="4" w:space="0" w:color="auto"/>
              <w:right w:val="nil"/>
            </w:tcBorders>
            <w:vAlign w:val="bottom"/>
            <w:hideMark/>
          </w:tcPr>
          <w:p w14:paraId="5DE7AACC"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3.5</w:t>
            </w:r>
          </w:p>
        </w:tc>
        <w:tc>
          <w:tcPr>
            <w:tcW w:w="903" w:type="dxa"/>
            <w:tcBorders>
              <w:top w:val="single" w:sz="4" w:space="0" w:color="auto"/>
              <w:left w:val="nil"/>
              <w:bottom w:val="single" w:sz="4" w:space="0" w:color="auto"/>
              <w:right w:val="nil"/>
            </w:tcBorders>
            <w:vAlign w:val="bottom"/>
            <w:hideMark/>
          </w:tcPr>
          <w:p w14:paraId="1B904973"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(10.2)</w:t>
            </w:r>
          </w:p>
        </w:tc>
        <w:tc>
          <w:tcPr>
            <w:tcW w:w="1105" w:type="dxa"/>
            <w:tcBorders>
              <w:top w:val="single" w:sz="4" w:space="0" w:color="auto"/>
              <w:left w:val="nil"/>
              <w:bottom w:val="single" w:sz="4" w:space="0" w:color="auto"/>
              <w:right w:val="nil"/>
            </w:tcBorders>
            <w:vAlign w:val="bottom"/>
            <w:hideMark/>
          </w:tcPr>
          <w:p w14:paraId="095E857E" w14:textId="5F2E01AA"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008D05A6">
              <w:rPr>
                <w:rFonts w:ascii="Arial" w:eastAsia="Times New Roman" w:hAnsi="Arial" w:cs="Arial"/>
                <w:sz w:val="16"/>
                <w:szCs w:val="16"/>
                <w:lang w:eastAsia="en-GB"/>
              </w:rPr>
              <w:t>7</w:t>
            </w:r>
            <w:r>
              <w:rPr>
                <w:rFonts w:ascii="Arial" w:eastAsia="Times New Roman" w:hAnsi="Arial" w:cs="Arial"/>
                <w:sz w:val="16"/>
                <w:szCs w:val="16"/>
                <w:lang w:eastAsia="en-GB"/>
              </w:rPr>
              <w:t>)</w:t>
            </w:r>
          </w:p>
        </w:tc>
        <w:tc>
          <w:tcPr>
            <w:tcW w:w="1252" w:type="dxa"/>
            <w:tcBorders>
              <w:top w:val="single" w:sz="4" w:space="0" w:color="auto"/>
              <w:left w:val="nil"/>
              <w:bottom w:val="single" w:sz="4" w:space="0" w:color="auto"/>
              <w:right w:val="nil"/>
            </w:tcBorders>
            <w:vAlign w:val="bottom"/>
            <w:hideMark/>
          </w:tcPr>
          <w:p w14:paraId="0A33D58B" w14:textId="0302B22D"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w:t>
            </w:r>
            <w:r w:rsidR="008D05A6">
              <w:rPr>
                <w:rFonts w:ascii="Arial" w:eastAsia="Times New Roman" w:hAnsi="Arial" w:cs="Arial"/>
                <w:sz w:val="16"/>
                <w:szCs w:val="16"/>
                <w:lang w:eastAsia="en-GB"/>
              </w:rPr>
              <w:t>1</w:t>
            </w:r>
            <w:r>
              <w:rPr>
                <w:rFonts w:ascii="Arial" w:eastAsia="Times New Roman" w:hAnsi="Arial" w:cs="Arial"/>
                <w:sz w:val="16"/>
                <w:szCs w:val="16"/>
                <w:lang w:eastAsia="en-GB"/>
              </w:rPr>
              <w:t>)</w:t>
            </w:r>
          </w:p>
        </w:tc>
        <w:tc>
          <w:tcPr>
            <w:tcW w:w="957" w:type="dxa"/>
            <w:tcBorders>
              <w:top w:val="single" w:sz="4" w:space="0" w:color="auto"/>
              <w:left w:val="nil"/>
              <w:bottom w:val="single" w:sz="4" w:space="0" w:color="auto"/>
              <w:right w:val="nil"/>
            </w:tcBorders>
            <w:vAlign w:val="bottom"/>
            <w:hideMark/>
          </w:tcPr>
          <w:p w14:paraId="0193F3C4"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(3.8)</w:t>
            </w:r>
          </w:p>
        </w:tc>
      </w:tr>
      <w:tr w:rsidR="008C676E" w14:paraId="61AA9F9C" w14:textId="77777777" w:rsidTr="008C676E">
        <w:trPr>
          <w:trHeight w:val="283"/>
        </w:trPr>
        <w:tc>
          <w:tcPr>
            <w:tcW w:w="2410" w:type="dxa"/>
            <w:tcBorders>
              <w:top w:val="single" w:sz="4" w:space="0" w:color="auto"/>
              <w:left w:val="nil"/>
              <w:bottom w:val="single" w:sz="4" w:space="0" w:color="auto"/>
              <w:right w:val="nil"/>
            </w:tcBorders>
            <w:noWrap/>
            <w:vAlign w:val="center"/>
            <w:hideMark/>
          </w:tcPr>
          <w:p w14:paraId="7C58DDA2" w14:textId="77777777" w:rsidR="008C676E" w:rsidRDefault="008C676E">
            <w:pPr>
              <w:spacing w:after="0" w:line="240" w:lineRule="auto"/>
              <w:rPr>
                <w:rFonts w:ascii="Arial" w:eastAsia="Times New Roman" w:hAnsi="Arial" w:cs="Arial"/>
                <w:b/>
                <w:sz w:val="16"/>
                <w:szCs w:val="16"/>
                <w:lang w:eastAsia="en-GB"/>
              </w:rPr>
            </w:pPr>
            <w:r>
              <w:rPr>
                <w:rFonts w:ascii="Arial" w:eastAsia="Times New Roman" w:hAnsi="Arial" w:cs="Arial"/>
                <w:b/>
                <w:sz w:val="16"/>
                <w:szCs w:val="16"/>
                <w:lang w:eastAsia="en-GB"/>
              </w:rPr>
              <w:t xml:space="preserve">Attributable to owners of </w:t>
            </w:r>
          </w:p>
          <w:p w14:paraId="783B7929" w14:textId="77777777" w:rsidR="008C676E" w:rsidRDefault="008C676E">
            <w:pPr>
              <w:spacing w:after="0" w:line="240" w:lineRule="auto"/>
              <w:rPr>
                <w:rFonts w:ascii="Arial" w:eastAsia="Times New Roman" w:hAnsi="Arial" w:cs="Arial"/>
                <w:b/>
                <w:sz w:val="16"/>
                <w:szCs w:val="16"/>
                <w:lang w:eastAsia="en-GB"/>
              </w:rPr>
            </w:pPr>
            <w:r>
              <w:rPr>
                <w:rFonts w:ascii="Arial" w:eastAsia="Times New Roman" w:hAnsi="Arial" w:cs="Arial"/>
                <w:b/>
                <w:sz w:val="16"/>
                <w:szCs w:val="16"/>
                <w:lang w:eastAsia="en-GB"/>
              </w:rPr>
              <w:t>the parent</w:t>
            </w:r>
          </w:p>
        </w:tc>
        <w:tc>
          <w:tcPr>
            <w:tcW w:w="709" w:type="dxa"/>
            <w:tcBorders>
              <w:top w:val="single" w:sz="4" w:space="0" w:color="auto"/>
              <w:left w:val="nil"/>
              <w:bottom w:val="single" w:sz="4" w:space="0" w:color="auto"/>
              <w:right w:val="nil"/>
            </w:tcBorders>
            <w:vAlign w:val="bottom"/>
          </w:tcPr>
          <w:p w14:paraId="1CA4124F" w14:textId="77777777" w:rsidR="008C676E" w:rsidRDefault="008C676E">
            <w:pPr>
              <w:spacing w:after="0" w:line="240" w:lineRule="auto"/>
              <w:jc w:val="center"/>
              <w:rPr>
                <w:rFonts w:ascii="Arial" w:eastAsia="Times New Roman" w:hAnsi="Arial" w:cs="Arial"/>
                <w:b/>
                <w:sz w:val="16"/>
                <w:szCs w:val="16"/>
                <w:lang w:eastAsia="en-GB"/>
              </w:rPr>
            </w:pPr>
          </w:p>
        </w:tc>
        <w:tc>
          <w:tcPr>
            <w:tcW w:w="1104" w:type="dxa"/>
            <w:tcBorders>
              <w:top w:val="single" w:sz="4" w:space="0" w:color="auto"/>
              <w:left w:val="nil"/>
              <w:bottom w:val="single" w:sz="4" w:space="0" w:color="auto"/>
              <w:right w:val="nil"/>
            </w:tcBorders>
            <w:vAlign w:val="bottom"/>
            <w:hideMark/>
          </w:tcPr>
          <w:p w14:paraId="5D5F1047"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(13.7)</w:t>
            </w:r>
          </w:p>
        </w:tc>
        <w:tc>
          <w:tcPr>
            <w:tcW w:w="1306" w:type="dxa"/>
            <w:tcBorders>
              <w:top w:val="single" w:sz="4" w:space="0" w:color="auto"/>
              <w:left w:val="nil"/>
              <w:bottom w:val="single" w:sz="4" w:space="0" w:color="auto"/>
              <w:right w:val="nil"/>
            </w:tcBorders>
            <w:vAlign w:val="bottom"/>
            <w:hideMark/>
          </w:tcPr>
          <w:p w14:paraId="23005ABF"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3.5</w:t>
            </w:r>
          </w:p>
        </w:tc>
        <w:tc>
          <w:tcPr>
            <w:tcW w:w="903" w:type="dxa"/>
            <w:tcBorders>
              <w:top w:val="single" w:sz="4" w:space="0" w:color="auto"/>
              <w:left w:val="nil"/>
              <w:bottom w:val="single" w:sz="4" w:space="0" w:color="auto"/>
              <w:right w:val="nil"/>
            </w:tcBorders>
            <w:vAlign w:val="bottom"/>
            <w:hideMark/>
          </w:tcPr>
          <w:p w14:paraId="5FA61AE4"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(10.2)</w:t>
            </w:r>
          </w:p>
        </w:tc>
        <w:tc>
          <w:tcPr>
            <w:tcW w:w="1105" w:type="dxa"/>
            <w:tcBorders>
              <w:top w:val="single" w:sz="4" w:space="0" w:color="auto"/>
              <w:left w:val="nil"/>
              <w:bottom w:val="single" w:sz="4" w:space="0" w:color="auto"/>
              <w:right w:val="nil"/>
            </w:tcBorders>
            <w:vAlign w:val="bottom"/>
            <w:hideMark/>
          </w:tcPr>
          <w:p w14:paraId="02627DF0" w14:textId="197A0C8A"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(1.</w:t>
            </w:r>
            <w:r w:rsidR="008D05A6">
              <w:rPr>
                <w:rFonts w:ascii="Arial" w:eastAsia="Times New Roman" w:hAnsi="Arial" w:cs="Arial"/>
                <w:sz w:val="16"/>
                <w:szCs w:val="16"/>
                <w:lang w:eastAsia="en-GB"/>
              </w:rPr>
              <w:t>7</w:t>
            </w:r>
            <w:r>
              <w:rPr>
                <w:rFonts w:ascii="Arial" w:eastAsia="Times New Roman" w:hAnsi="Arial" w:cs="Arial"/>
                <w:sz w:val="16"/>
                <w:szCs w:val="16"/>
                <w:lang w:eastAsia="en-GB"/>
              </w:rPr>
              <w:t>)</w:t>
            </w:r>
          </w:p>
        </w:tc>
        <w:tc>
          <w:tcPr>
            <w:tcW w:w="1252" w:type="dxa"/>
            <w:tcBorders>
              <w:top w:val="single" w:sz="4" w:space="0" w:color="auto"/>
              <w:left w:val="nil"/>
              <w:bottom w:val="single" w:sz="4" w:space="0" w:color="auto"/>
              <w:right w:val="nil"/>
            </w:tcBorders>
            <w:vAlign w:val="bottom"/>
            <w:hideMark/>
          </w:tcPr>
          <w:p w14:paraId="17862340" w14:textId="7A3FD9B5"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(2.</w:t>
            </w:r>
            <w:r w:rsidR="008D05A6">
              <w:rPr>
                <w:rFonts w:ascii="Arial" w:eastAsia="Times New Roman" w:hAnsi="Arial" w:cs="Arial"/>
                <w:sz w:val="16"/>
                <w:szCs w:val="16"/>
                <w:lang w:eastAsia="en-GB"/>
              </w:rPr>
              <w:t>1</w:t>
            </w:r>
            <w:r>
              <w:rPr>
                <w:rFonts w:ascii="Arial" w:eastAsia="Times New Roman" w:hAnsi="Arial" w:cs="Arial"/>
                <w:sz w:val="16"/>
                <w:szCs w:val="16"/>
                <w:lang w:eastAsia="en-GB"/>
              </w:rPr>
              <w:t>)</w:t>
            </w:r>
          </w:p>
        </w:tc>
        <w:tc>
          <w:tcPr>
            <w:tcW w:w="957" w:type="dxa"/>
            <w:tcBorders>
              <w:top w:val="single" w:sz="4" w:space="0" w:color="auto"/>
              <w:left w:val="nil"/>
              <w:bottom w:val="single" w:sz="4" w:space="0" w:color="auto"/>
              <w:right w:val="nil"/>
            </w:tcBorders>
            <w:vAlign w:val="bottom"/>
            <w:hideMark/>
          </w:tcPr>
          <w:p w14:paraId="10031789"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(3.8)</w:t>
            </w:r>
          </w:p>
        </w:tc>
      </w:tr>
      <w:tr w:rsidR="008C676E" w14:paraId="54E6F0DD" w14:textId="77777777" w:rsidTr="008C676E">
        <w:trPr>
          <w:trHeight w:val="283"/>
        </w:trPr>
        <w:tc>
          <w:tcPr>
            <w:tcW w:w="2410" w:type="dxa"/>
            <w:tcBorders>
              <w:top w:val="single" w:sz="4" w:space="0" w:color="auto"/>
              <w:left w:val="nil"/>
              <w:bottom w:val="single" w:sz="4" w:space="0" w:color="auto"/>
              <w:right w:val="nil"/>
            </w:tcBorders>
            <w:noWrap/>
            <w:vAlign w:val="center"/>
            <w:hideMark/>
          </w:tcPr>
          <w:p w14:paraId="69BA1064" w14:textId="77777777" w:rsidR="008C676E" w:rsidRDefault="008C676E">
            <w:pPr>
              <w:spacing w:after="0" w:line="240" w:lineRule="auto"/>
              <w:rPr>
                <w:rFonts w:ascii="Arial" w:eastAsia="Times New Roman" w:hAnsi="Arial" w:cs="Arial"/>
                <w:b/>
                <w:sz w:val="16"/>
                <w:szCs w:val="16"/>
                <w:lang w:eastAsia="en-GB"/>
              </w:rPr>
            </w:pPr>
            <w:r>
              <w:rPr>
                <w:rFonts w:ascii="Arial" w:eastAsia="Times New Roman" w:hAnsi="Arial" w:cs="Arial"/>
                <w:b/>
                <w:sz w:val="16"/>
                <w:szCs w:val="16"/>
                <w:lang w:eastAsia="en-GB"/>
              </w:rPr>
              <w:t>Loss per share attributable to owners of the parent (pence)</w:t>
            </w:r>
          </w:p>
        </w:tc>
        <w:tc>
          <w:tcPr>
            <w:tcW w:w="709" w:type="dxa"/>
            <w:tcBorders>
              <w:top w:val="single" w:sz="4" w:space="0" w:color="auto"/>
              <w:left w:val="nil"/>
              <w:bottom w:val="single" w:sz="4" w:space="0" w:color="auto"/>
              <w:right w:val="nil"/>
            </w:tcBorders>
            <w:vAlign w:val="bottom"/>
          </w:tcPr>
          <w:p w14:paraId="2213BBAC" w14:textId="77777777" w:rsidR="008C676E" w:rsidRDefault="008C676E">
            <w:pPr>
              <w:spacing w:after="0" w:line="240" w:lineRule="auto"/>
              <w:jc w:val="center"/>
              <w:rPr>
                <w:rFonts w:ascii="Arial" w:eastAsia="Times New Roman" w:hAnsi="Arial" w:cs="Arial"/>
                <w:b/>
                <w:sz w:val="16"/>
                <w:szCs w:val="16"/>
                <w:lang w:eastAsia="en-GB"/>
              </w:rPr>
            </w:pPr>
          </w:p>
        </w:tc>
        <w:tc>
          <w:tcPr>
            <w:tcW w:w="1104" w:type="dxa"/>
            <w:tcBorders>
              <w:top w:val="single" w:sz="4" w:space="0" w:color="auto"/>
              <w:left w:val="nil"/>
              <w:bottom w:val="single" w:sz="4" w:space="0" w:color="auto"/>
              <w:right w:val="nil"/>
            </w:tcBorders>
            <w:vAlign w:val="bottom"/>
          </w:tcPr>
          <w:p w14:paraId="6A138C2D" w14:textId="77777777" w:rsidR="008C676E" w:rsidRDefault="008C676E">
            <w:pPr>
              <w:spacing w:after="0" w:line="240" w:lineRule="auto"/>
              <w:jc w:val="right"/>
              <w:rPr>
                <w:rFonts w:ascii="Arial" w:eastAsia="Times New Roman" w:hAnsi="Arial" w:cs="Arial"/>
                <w:b/>
                <w:bCs/>
                <w:sz w:val="16"/>
                <w:szCs w:val="16"/>
                <w:lang w:eastAsia="en-GB"/>
              </w:rPr>
            </w:pPr>
          </w:p>
        </w:tc>
        <w:tc>
          <w:tcPr>
            <w:tcW w:w="1306" w:type="dxa"/>
            <w:tcBorders>
              <w:top w:val="single" w:sz="4" w:space="0" w:color="auto"/>
              <w:left w:val="nil"/>
              <w:bottom w:val="single" w:sz="4" w:space="0" w:color="auto"/>
              <w:right w:val="nil"/>
            </w:tcBorders>
            <w:vAlign w:val="bottom"/>
          </w:tcPr>
          <w:p w14:paraId="0AF57A42" w14:textId="77777777" w:rsidR="008C676E" w:rsidRDefault="008C676E">
            <w:pPr>
              <w:spacing w:after="0" w:line="240" w:lineRule="auto"/>
              <w:jc w:val="right"/>
              <w:rPr>
                <w:rFonts w:ascii="Arial" w:eastAsia="Times New Roman" w:hAnsi="Arial" w:cs="Arial"/>
                <w:b/>
                <w:bCs/>
                <w:sz w:val="16"/>
                <w:szCs w:val="16"/>
                <w:lang w:eastAsia="en-GB"/>
              </w:rPr>
            </w:pPr>
          </w:p>
        </w:tc>
        <w:tc>
          <w:tcPr>
            <w:tcW w:w="903" w:type="dxa"/>
            <w:tcBorders>
              <w:top w:val="single" w:sz="4" w:space="0" w:color="auto"/>
              <w:left w:val="nil"/>
              <w:bottom w:val="single" w:sz="4" w:space="0" w:color="auto"/>
              <w:right w:val="nil"/>
            </w:tcBorders>
            <w:vAlign w:val="bottom"/>
          </w:tcPr>
          <w:p w14:paraId="065FFCA3" w14:textId="77777777" w:rsidR="008C676E" w:rsidRDefault="008C676E">
            <w:pPr>
              <w:spacing w:after="0" w:line="240" w:lineRule="auto"/>
              <w:jc w:val="right"/>
              <w:rPr>
                <w:rFonts w:ascii="Arial" w:eastAsia="Times New Roman" w:hAnsi="Arial" w:cs="Arial"/>
                <w:b/>
                <w:bCs/>
                <w:sz w:val="16"/>
                <w:szCs w:val="16"/>
                <w:lang w:eastAsia="en-GB"/>
              </w:rPr>
            </w:pPr>
          </w:p>
        </w:tc>
        <w:tc>
          <w:tcPr>
            <w:tcW w:w="1105" w:type="dxa"/>
            <w:tcBorders>
              <w:top w:val="single" w:sz="4" w:space="0" w:color="auto"/>
              <w:left w:val="nil"/>
              <w:bottom w:val="single" w:sz="4" w:space="0" w:color="auto"/>
              <w:right w:val="nil"/>
            </w:tcBorders>
            <w:vAlign w:val="bottom"/>
          </w:tcPr>
          <w:p w14:paraId="2B6BB7B5" w14:textId="77777777" w:rsidR="008C676E" w:rsidRDefault="008C676E">
            <w:pPr>
              <w:spacing w:after="0" w:line="240" w:lineRule="auto"/>
              <w:jc w:val="right"/>
              <w:rPr>
                <w:rFonts w:ascii="Arial" w:eastAsia="Times New Roman" w:hAnsi="Arial" w:cs="Arial"/>
                <w:sz w:val="16"/>
                <w:szCs w:val="16"/>
                <w:lang w:eastAsia="en-GB"/>
              </w:rPr>
            </w:pPr>
          </w:p>
        </w:tc>
        <w:tc>
          <w:tcPr>
            <w:tcW w:w="1252" w:type="dxa"/>
            <w:tcBorders>
              <w:top w:val="single" w:sz="4" w:space="0" w:color="auto"/>
              <w:left w:val="nil"/>
              <w:bottom w:val="single" w:sz="4" w:space="0" w:color="auto"/>
              <w:right w:val="nil"/>
            </w:tcBorders>
            <w:vAlign w:val="bottom"/>
          </w:tcPr>
          <w:p w14:paraId="5E7360F6" w14:textId="77777777" w:rsidR="008C676E" w:rsidRDefault="008C676E">
            <w:pPr>
              <w:spacing w:after="0" w:line="240" w:lineRule="auto"/>
              <w:jc w:val="right"/>
              <w:rPr>
                <w:rFonts w:ascii="Arial" w:eastAsia="Times New Roman" w:hAnsi="Arial" w:cs="Arial"/>
                <w:sz w:val="16"/>
                <w:szCs w:val="16"/>
                <w:lang w:eastAsia="en-GB"/>
              </w:rPr>
            </w:pPr>
          </w:p>
        </w:tc>
        <w:tc>
          <w:tcPr>
            <w:tcW w:w="957" w:type="dxa"/>
            <w:tcBorders>
              <w:top w:val="single" w:sz="4" w:space="0" w:color="auto"/>
              <w:left w:val="nil"/>
              <w:bottom w:val="single" w:sz="4" w:space="0" w:color="auto"/>
              <w:right w:val="nil"/>
            </w:tcBorders>
            <w:vAlign w:val="bottom"/>
          </w:tcPr>
          <w:p w14:paraId="0B5B9EC7" w14:textId="77777777" w:rsidR="008C676E" w:rsidRDefault="008C676E">
            <w:pPr>
              <w:spacing w:after="0" w:line="240" w:lineRule="auto"/>
              <w:jc w:val="right"/>
              <w:rPr>
                <w:rFonts w:ascii="Arial" w:eastAsia="Times New Roman" w:hAnsi="Arial" w:cs="Arial"/>
                <w:sz w:val="16"/>
                <w:szCs w:val="16"/>
                <w:lang w:eastAsia="en-GB"/>
              </w:rPr>
            </w:pPr>
          </w:p>
        </w:tc>
      </w:tr>
      <w:tr w:rsidR="008C676E" w14:paraId="1E0E5CAE" w14:textId="77777777" w:rsidTr="008C676E">
        <w:trPr>
          <w:trHeight w:val="283"/>
        </w:trPr>
        <w:tc>
          <w:tcPr>
            <w:tcW w:w="2410" w:type="dxa"/>
            <w:tcBorders>
              <w:top w:val="single" w:sz="4" w:space="0" w:color="auto"/>
              <w:left w:val="nil"/>
              <w:bottom w:val="nil"/>
              <w:right w:val="nil"/>
            </w:tcBorders>
            <w:noWrap/>
            <w:vAlign w:val="center"/>
            <w:hideMark/>
          </w:tcPr>
          <w:p w14:paraId="3AB32D72" w14:textId="77777777" w:rsidR="008C676E" w:rsidRDefault="008C676E">
            <w:pPr>
              <w:spacing w:after="0" w:line="240" w:lineRule="auto"/>
              <w:rPr>
                <w:rFonts w:ascii="Arial" w:eastAsia="Times New Roman" w:hAnsi="Arial" w:cs="Arial"/>
                <w:b/>
                <w:sz w:val="16"/>
                <w:szCs w:val="16"/>
                <w:lang w:eastAsia="en-GB"/>
              </w:rPr>
            </w:pPr>
            <w:r>
              <w:rPr>
                <w:rFonts w:ascii="Arial" w:eastAsia="Times New Roman" w:hAnsi="Arial" w:cs="Arial"/>
                <w:b/>
                <w:sz w:val="16"/>
                <w:szCs w:val="16"/>
                <w:lang w:eastAsia="en-GB"/>
              </w:rPr>
              <w:t>Total</w:t>
            </w:r>
          </w:p>
        </w:tc>
        <w:tc>
          <w:tcPr>
            <w:tcW w:w="709" w:type="dxa"/>
            <w:tcBorders>
              <w:top w:val="single" w:sz="4" w:space="0" w:color="auto"/>
              <w:left w:val="nil"/>
              <w:bottom w:val="nil"/>
              <w:right w:val="nil"/>
            </w:tcBorders>
            <w:vAlign w:val="bottom"/>
          </w:tcPr>
          <w:p w14:paraId="06E33C1E" w14:textId="77777777" w:rsidR="008C676E" w:rsidRDefault="008C676E">
            <w:pPr>
              <w:spacing w:after="0" w:line="240" w:lineRule="auto"/>
              <w:jc w:val="center"/>
              <w:rPr>
                <w:rFonts w:ascii="Arial" w:eastAsia="Times New Roman" w:hAnsi="Arial" w:cs="Arial"/>
                <w:b/>
                <w:sz w:val="16"/>
                <w:szCs w:val="16"/>
                <w:lang w:eastAsia="en-GB"/>
              </w:rPr>
            </w:pPr>
          </w:p>
        </w:tc>
        <w:tc>
          <w:tcPr>
            <w:tcW w:w="1104" w:type="dxa"/>
            <w:tcBorders>
              <w:top w:val="single" w:sz="4" w:space="0" w:color="auto"/>
              <w:left w:val="nil"/>
              <w:bottom w:val="nil"/>
              <w:right w:val="nil"/>
            </w:tcBorders>
            <w:vAlign w:val="bottom"/>
          </w:tcPr>
          <w:p w14:paraId="56860C3C" w14:textId="77777777" w:rsidR="008C676E" w:rsidRDefault="008C676E">
            <w:pPr>
              <w:spacing w:after="0" w:line="240" w:lineRule="auto"/>
              <w:jc w:val="right"/>
              <w:rPr>
                <w:rFonts w:ascii="Arial" w:eastAsia="Times New Roman" w:hAnsi="Arial" w:cs="Arial"/>
                <w:b/>
                <w:bCs/>
                <w:sz w:val="16"/>
                <w:szCs w:val="16"/>
                <w:lang w:eastAsia="en-GB"/>
              </w:rPr>
            </w:pPr>
          </w:p>
        </w:tc>
        <w:tc>
          <w:tcPr>
            <w:tcW w:w="1306" w:type="dxa"/>
            <w:tcBorders>
              <w:top w:val="single" w:sz="4" w:space="0" w:color="auto"/>
              <w:left w:val="nil"/>
              <w:bottom w:val="nil"/>
              <w:right w:val="nil"/>
            </w:tcBorders>
            <w:vAlign w:val="bottom"/>
          </w:tcPr>
          <w:p w14:paraId="6F90429E" w14:textId="77777777" w:rsidR="008C676E" w:rsidRDefault="008C676E">
            <w:pPr>
              <w:spacing w:after="0" w:line="240" w:lineRule="auto"/>
              <w:jc w:val="right"/>
              <w:rPr>
                <w:rFonts w:ascii="Arial" w:eastAsia="Times New Roman" w:hAnsi="Arial" w:cs="Arial"/>
                <w:b/>
                <w:bCs/>
                <w:sz w:val="16"/>
                <w:szCs w:val="16"/>
                <w:lang w:eastAsia="en-GB"/>
              </w:rPr>
            </w:pPr>
          </w:p>
        </w:tc>
        <w:tc>
          <w:tcPr>
            <w:tcW w:w="903" w:type="dxa"/>
            <w:tcBorders>
              <w:top w:val="single" w:sz="4" w:space="0" w:color="auto"/>
              <w:left w:val="nil"/>
              <w:bottom w:val="nil"/>
              <w:right w:val="nil"/>
            </w:tcBorders>
            <w:vAlign w:val="bottom"/>
          </w:tcPr>
          <w:p w14:paraId="0C58AC06" w14:textId="77777777" w:rsidR="008C676E" w:rsidRDefault="008C676E">
            <w:pPr>
              <w:spacing w:after="0" w:line="240" w:lineRule="auto"/>
              <w:jc w:val="right"/>
              <w:rPr>
                <w:rFonts w:ascii="Arial" w:eastAsia="Times New Roman" w:hAnsi="Arial" w:cs="Arial"/>
                <w:b/>
                <w:bCs/>
                <w:sz w:val="16"/>
                <w:szCs w:val="16"/>
                <w:lang w:eastAsia="en-GB"/>
              </w:rPr>
            </w:pPr>
          </w:p>
        </w:tc>
        <w:tc>
          <w:tcPr>
            <w:tcW w:w="1105" w:type="dxa"/>
            <w:tcBorders>
              <w:top w:val="single" w:sz="4" w:space="0" w:color="auto"/>
              <w:left w:val="nil"/>
              <w:bottom w:val="nil"/>
              <w:right w:val="nil"/>
            </w:tcBorders>
            <w:vAlign w:val="bottom"/>
          </w:tcPr>
          <w:p w14:paraId="40CC2923" w14:textId="77777777" w:rsidR="008C676E" w:rsidRDefault="008C676E">
            <w:pPr>
              <w:spacing w:after="0" w:line="240" w:lineRule="auto"/>
              <w:jc w:val="right"/>
              <w:rPr>
                <w:rFonts w:ascii="Arial" w:eastAsia="Times New Roman" w:hAnsi="Arial" w:cs="Arial"/>
                <w:sz w:val="16"/>
                <w:szCs w:val="16"/>
                <w:lang w:eastAsia="en-GB"/>
              </w:rPr>
            </w:pPr>
          </w:p>
        </w:tc>
        <w:tc>
          <w:tcPr>
            <w:tcW w:w="1252" w:type="dxa"/>
            <w:tcBorders>
              <w:top w:val="single" w:sz="4" w:space="0" w:color="auto"/>
              <w:left w:val="nil"/>
              <w:bottom w:val="nil"/>
              <w:right w:val="nil"/>
            </w:tcBorders>
            <w:vAlign w:val="bottom"/>
          </w:tcPr>
          <w:p w14:paraId="7352FE13" w14:textId="77777777" w:rsidR="008C676E" w:rsidRDefault="008C676E">
            <w:pPr>
              <w:spacing w:after="0" w:line="240" w:lineRule="auto"/>
              <w:jc w:val="right"/>
              <w:rPr>
                <w:rFonts w:ascii="Arial" w:eastAsia="Times New Roman" w:hAnsi="Arial" w:cs="Arial"/>
                <w:sz w:val="16"/>
                <w:szCs w:val="16"/>
                <w:lang w:eastAsia="en-GB"/>
              </w:rPr>
            </w:pPr>
          </w:p>
        </w:tc>
        <w:tc>
          <w:tcPr>
            <w:tcW w:w="957" w:type="dxa"/>
            <w:tcBorders>
              <w:top w:val="single" w:sz="4" w:space="0" w:color="auto"/>
              <w:left w:val="nil"/>
              <w:bottom w:val="nil"/>
              <w:right w:val="nil"/>
            </w:tcBorders>
            <w:vAlign w:val="bottom"/>
          </w:tcPr>
          <w:p w14:paraId="51EA215A" w14:textId="77777777" w:rsidR="008C676E" w:rsidRDefault="008C676E">
            <w:pPr>
              <w:spacing w:after="0" w:line="240" w:lineRule="auto"/>
              <w:jc w:val="right"/>
              <w:rPr>
                <w:rFonts w:ascii="Arial" w:eastAsia="Times New Roman" w:hAnsi="Arial" w:cs="Arial"/>
                <w:sz w:val="16"/>
                <w:szCs w:val="16"/>
                <w:lang w:eastAsia="en-GB"/>
              </w:rPr>
            </w:pPr>
          </w:p>
        </w:tc>
      </w:tr>
      <w:tr w:rsidR="008C676E" w14:paraId="38BC9FD0" w14:textId="77777777" w:rsidTr="008C676E">
        <w:trPr>
          <w:trHeight w:val="283"/>
        </w:trPr>
        <w:tc>
          <w:tcPr>
            <w:tcW w:w="2410" w:type="dxa"/>
            <w:noWrap/>
            <w:vAlign w:val="center"/>
            <w:hideMark/>
          </w:tcPr>
          <w:p w14:paraId="280630AA" w14:textId="77777777" w:rsidR="008C676E" w:rsidRDefault="008C676E">
            <w:pPr>
              <w:spacing w:after="0" w:line="240" w:lineRule="auto"/>
              <w:rPr>
                <w:rFonts w:ascii="Arial" w:eastAsia="Times New Roman" w:hAnsi="Arial" w:cs="Arial"/>
                <w:bCs/>
                <w:sz w:val="16"/>
                <w:szCs w:val="16"/>
                <w:lang w:eastAsia="en-GB"/>
              </w:rPr>
            </w:pPr>
            <w:r>
              <w:rPr>
                <w:rFonts w:ascii="Arial" w:eastAsia="Times New Roman" w:hAnsi="Arial" w:cs="Arial"/>
                <w:bCs/>
                <w:sz w:val="16"/>
                <w:szCs w:val="16"/>
                <w:lang w:eastAsia="en-GB"/>
              </w:rPr>
              <w:t>Basic</w:t>
            </w:r>
          </w:p>
        </w:tc>
        <w:tc>
          <w:tcPr>
            <w:tcW w:w="709" w:type="dxa"/>
            <w:vAlign w:val="bottom"/>
            <w:hideMark/>
          </w:tcPr>
          <w:p w14:paraId="1085BF1B" w14:textId="7E8FE1D9" w:rsidR="008C676E" w:rsidRDefault="004B35CE">
            <w:pPr>
              <w:spacing w:after="0" w:line="240" w:lineRule="auto"/>
              <w:jc w:val="center"/>
              <w:rPr>
                <w:rFonts w:ascii="Arial" w:eastAsia="Times New Roman" w:hAnsi="Arial" w:cs="Arial"/>
                <w:bCs/>
                <w:sz w:val="16"/>
                <w:szCs w:val="16"/>
                <w:lang w:eastAsia="en-GB"/>
              </w:rPr>
            </w:pPr>
            <w:r>
              <w:rPr>
                <w:rFonts w:ascii="Arial" w:eastAsia="Times New Roman" w:hAnsi="Arial" w:cs="Arial"/>
                <w:bCs/>
                <w:sz w:val="16"/>
                <w:szCs w:val="16"/>
                <w:lang w:eastAsia="en-GB"/>
              </w:rPr>
              <w:t>5</w:t>
            </w:r>
          </w:p>
        </w:tc>
        <w:tc>
          <w:tcPr>
            <w:tcW w:w="1104" w:type="dxa"/>
            <w:vAlign w:val="bottom"/>
          </w:tcPr>
          <w:p w14:paraId="76011E03" w14:textId="1CA4A9CE" w:rsidR="008C676E" w:rsidRDefault="002D1783">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roofErr w:type="gramStart"/>
            <w:r>
              <w:rPr>
                <w:rFonts w:ascii="Arial" w:eastAsia="Times New Roman" w:hAnsi="Arial" w:cs="Arial"/>
                <w:b/>
                <w:bCs/>
                <w:sz w:val="16"/>
                <w:szCs w:val="16"/>
                <w:lang w:eastAsia="en-GB"/>
              </w:rPr>
              <w:t>14.2)p</w:t>
            </w:r>
            <w:proofErr w:type="gramEnd"/>
          </w:p>
        </w:tc>
        <w:tc>
          <w:tcPr>
            <w:tcW w:w="1306" w:type="dxa"/>
            <w:vAlign w:val="bottom"/>
          </w:tcPr>
          <w:p w14:paraId="23E94391" w14:textId="77777777" w:rsidR="008C676E" w:rsidRDefault="008C676E">
            <w:pPr>
              <w:spacing w:after="0" w:line="240" w:lineRule="auto"/>
              <w:jc w:val="right"/>
              <w:rPr>
                <w:rFonts w:ascii="Arial" w:eastAsia="Times New Roman" w:hAnsi="Arial" w:cs="Arial"/>
                <w:b/>
                <w:bCs/>
                <w:sz w:val="16"/>
                <w:szCs w:val="16"/>
                <w:lang w:eastAsia="en-GB"/>
              </w:rPr>
            </w:pPr>
          </w:p>
        </w:tc>
        <w:tc>
          <w:tcPr>
            <w:tcW w:w="903" w:type="dxa"/>
            <w:vAlign w:val="bottom"/>
            <w:hideMark/>
          </w:tcPr>
          <w:p w14:paraId="46D1C97F"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roofErr w:type="gramStart"/>
            <w:r>
              <w:rPr>
                <w:rFonts w:ascii="Arial" w:eastAsia="Times New Roman" w:hAnsi="Arial" w:cs="Arial"/>
                <w:b/>
                <w:bCs/>
                <w:sz w:val="16"/>
                <w:szCs w:val="16"/>
                <w:lang w:eastAsia="en-GB"/>
              </w:rPr>
              <w:t>10.6)p</w:t>
            </w:r>
            <w:proofErr w:type="gramEnd"/>
          </w:p>
        </w:tc>
        <w:tc>
          <w:tcPr>
            <w:tcW w:w="1105" w:type="dxa"/>
            <w:vAlign w:val="bottom"/>
          </w:tcPr>
          <w:p w14:paraId="792BF356" w14:textId="39895A09" w:rsidR="008C676E" w:rsidRDefault="002D1783">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w:t>
            </w:r>
            <w:proofErr w:type="gramStart"/>
            <w:r w:rsidR="00185954">
              <w:rPr>
                <w:rFonts w:ascii="Arial" w:eastAsia="Times New Roman" w:hAnsi="Arial" w:cs="Arial"/>
                <w:sz w:val="16"/>
                <w:szCs w:val="16"/>
                <w:lang w:eastAsia="en-GB"/>
              </w:rPr>
              <w:t>1.8</w:t>
            </w:r>
            <w:r>
              <w:rPr>
                <w:rFonts w:ascii="Arial" w:eastAsia="Times New Roman" w:hAnsi="Arial" w:cs="Arial"/>
                <w:sz w:val="16"/>
                <w:szCs w:val="16"/>
                <w:lang w:eastAsia="en-GB"/>
              </w:rPr>
              <w:t>)p</w:t>
            </w:r>
            <w:proofErr w:type="gramEnd"/>
          </w:p>
        </w:tc>
        <w:tc>
          <w:tcPr>
            <w:tcW w:w="1252" w:type="dxa"/>
            <w:vAlign w:val="bottom"/>
          </w:tcPr>
          <w:p w14:paraId="26232128" w14:textId="77777777" w:rsidR="008C676E" w:rsidRDefault="008C676E">
            <w:pPr>
              <w:spacing w:after="0" w:line="240" w:lineRule="auto"/>
              <w:jc w:val="right"/>
              <w:rPr>
                <w:rFonts w:ascii="Arial" w:eastAsia="Times New Roman" w:hAnsi="Arial" w:cs="Arial"/>
                <w:sz w:val="16"/>
                <w:szCs w:val="16"/>
                <w:lang w:eastAsia="en-GB"/>
              </w:rPr>
            </w:pPr>
          </w:p>
        </w:tc>
        <w:tc>
          <w:tcPr>
            <w:tcW w:w="957" w:type="dxa"/>
            <w:vAlign w:val="bottom"/>
            <w:hideMark/>
          </w:tcPr>
          <w:p w14:paraId="2CBBB933"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w:t>
            </w:r>
            <w:proofErr w:type="gramStart"/>
            <w:r>
              <w:rPr>
                <w:rFonts w:ascii="Arial" w:eastAsia="Times New Roman" w:hAnsi="Arial" w:cs="Arial"/>
                <w:sz w:val="16"/>
                <w:szCs w:val="16"/>
                <w:lang w:eastAsia="en-GB"/>
              </w:rPr>
              <w:t>3.9)p</w:t>
            </w:r>
            <w:proofErr w:type="gramEnd"/>
          </w:p>
        </w:tc>
      </w:tr>
      <w:tr w:rsidR="008C676E" w14:paraId="3DE0EE4A" w14:textId="77777777" w:rsidTr="008C676E">
        <w:trPr>
          <w:trHeight w:val="283"/>
        </w:trPr>
        <w:tc>
          <w:tcPr>
            <w:tcW w:w="2410" w:type="dxa"/>
            <w:tcBorders>
              <w:top w:val="nil"/>
              <w:left w:val="nil"/>
              <w:bottom w:val="double" w:sz="4" w:space="0" w:color="auto"/>
              <w:right w:val="nil"/>
            </w:tcBorders>
            <w:noWrap/>
            <w:vAlign w:val="center"/>
            <w:hideMark/>
          </w:tcPr>
          <w:p w14:paraId="374BB093" w14:textId="77777777" w:rsidR="008C676E" w:rsidRDefault="008C676E">
            <w:pPr>
              <w:spacing w:after="0" w:line="240" w:lineRule="auto"/>
              <w:rPr>
                <w:rFonts w:ascii="Arial" w:eastAsia="Times New Roman" w:hAnsi="Arial" w:cs="Arial"/>
                <w:bCs/>
                <w:sz w:val="16"/>
                <w:szCs w:val="16"/>
                <w:lang w:eastAsia="en-GB"/>
              </w:rPr>
            </w:pPr>
            <w:r>
              <w:rPr>
                <w:rFonts w:ascii="Arial" w:eastAsia="Times New Roman" w:hAnsi="Arial" w:cs="Arial"/>
                <w:bCs/>
                <w:sz w:val="16"/>
                <w:szCs w:val="16"/>
                <w:lang w:eastAsia="en-GB"/>
              </w:rPr>
              <w:t>Diluted</w:t>
            </w:r>
          </w:p>
        </w:tc>
        <w:tc>
          <w:tcPr>
            <w:tcW w:w="709" w:type="dxa"/>
            <w:tcBorders>
              <w:top w:val="nil"/>
              <w:left w:val="nil"/>
              <w:bottom w:val="double" w:sz="4" w:space="0" w:color="auto"/>
              <w:right w:val="nil"/>
            </w:tcBorders>
            <w:vAlign w:val="bottom"/>
            <w:hideMark/>
          </w:tcPr>
          <w:p w14:paraId="6DC1D237" w14:textId="70D82DA7" w:rsidR="008C676E" w:rsidRDefault="004B35CE">
            <w:pPr>
              <w:spacing w:after="0" w:line="240" w:lineRule="auto"/>
              <w:jc w:val="center"/>
              <w:rPr>
                <w:rFonts w:ascii="Arial" w:eastAsia="Times New Roman" w:hAnsi="Arial" w:cs="Arial"/>
                <w:bCs/>
                <w:sz w:val="16"/>
                <w:szCs w:val="16"/>
                <w:lang w:eastAsia="en-GB"/>
              </w:rPr>
            </w:pPr>
            <w:r>
              <w:rPr>
                <w:rFonts w:ascii="Arial" w:eastAsia="Times New Roman" w:hAnsi="Arial" w:cs="Arial"/>
                <w:bCs/>
                <w:sz w:val="16"/>
                <w:szCs w:val="16"/>
                <w:lang w:eastAsia="en-GB"/>
              </w:rPr>
              <w:t>5</w:t>
            </w:r>
          </w:p>
        </w:tc>
        <w:tc>
          <w:tcPr>
            <w:tcW w:w="1104" w:type="dxa"/>
            <w:tcBorders>
              <w:top w:val="nil"/>
              <w:left w:val="nil"/>
              <w:bottom w:val="double" w:sz="4" w:space="0" w:color="auto"/>
              <w:right w:val="nil"/>
            </w:tcBorders>
            <w:vAlign w:val="bottom"/>
          </w:tcPr>
          <w:p w14:paraId="3FAA6784" w14:textId="1204E824" w:rsidR="008C676E" w:rsidRDefault="002D1783">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roofErr w:type="gramStart"/>
            <w:r>
              <w:rPr>
                <w:rFonts w:ascii="Arial" w:eastAsia="Times New Roman" w:hAnsi="Arial" w:cs="Arial"/>
                <w:b/>
                <w:bCs/>
                <w:sz w:val="16"/>
                <w:szCs w:val="16"/>
                <w:lang w:eastAsia="en-GB"/>
              </w:rPr>
              <w:t>14.2)p</w:t>
            </w:r>
            <w:proofErr w:type="gramEnd"/>
          </w:p>
        </w:tc>
        <w:tc>
          <w:tcPr>
            <w:tcW w:w="1306" w:type="dxa"/>
            <w:tcBorders>
              <w:top w:val="nil"/>
              <w:left w:val="nil"/>
              <w:bottom w:val="double" w:sz="4" w:space="0" w:color="auto"/>
              <w:right w:val="nil"/>
            </w:tcBorders>
            <w:vAlign w:val="bottom"/>
          </w:tcPr>
          <w:p w14:paraId="0751FD36" w14:textId="77777777" w:rsidR="008C676E" w:rsidRDefault="008C676E">
            <w:pPr>
              <w:spacing w:after="0" w:line="240" w:lineRule="auto"/>
              <w:jc w:val="right"/>
              <w:rPr>
                <w:rFonts w:ascii="Arial" w:eastAsia="Times New Roman" w:hAnsi="Arial" w:cs="Arial"/>
                <w:b/>
                <w:bCs/>
                <w:sz w:val="16"/>
                <w:szCs w:val="16"/>
                <w:lang w:eastAsia="en-GB"/>
              </w:rPr>
            </w:pPr>
          </w:p>
        </w:tc>
        <w:tc>
          <w:tcPr>
            <w:tcW w:w="903" w:type="dxa"/>
            <w:tcBorders>
              <w:top w:val="nil"/>
              <w:left w:val="nil"/>
              <w:bottom w:val="double" w:sz="4" w:space="0" w:color="auto"/>
              <w:right w:val="nil"/>
            </w:tcBorders>
            <w:vAlign w:val="bottom"/>
            <w:hideMark/>
          </w:tcPr>
          <w:p w14:paraId="6F6BB451" w14:textId="77777777" w:rsidR="008C676E" w:rsidRDefault="008C676E">
            <w:pPr>
              <w:spacing w:after="0" w:line="240" w:lineRule="auto"/>
              <w:jc w:val="right"/>
              <w:rPr>
                <w:rFonts w:ascii="Arial" w:eastAsia="Times New Roman" w:hAnsi="Arial" w:cs="Arial"/>
                <w:b/>
                <w:bCs/>
                <w:sz w:val="16"/>
                <w:szCs w:val="16"/>
                <w:lang w:eastAsia="en-GB"/>
              </w:rPr>
            </w:pPr>
            <w:r>
              <w:rPr>
                <w:rFonts w:ascii="Arial" w:eastAsia="Times New Roman" w:hAnsi="Arial" w:cs="Arial"/>
                <w:b/>
                <w:bCs/>
                <w:sz w:val="16"/>
                <w:szCs w:val="16"/>
                <w:lang w:eastAsia="en-GB"/>
              </w:rPr>
              <w:t>(</w:t>
            </w:r>
            <w:proofErr w:type="gramStart"/>
            <w:r>
              <w:rPr>
                <w:rFonts w:ascii="Arial" w:eastAsia="Times New Roman" w:hAnsi="Arial" w:cs="Arial"/>
                <w:b/>
                <w:bCs/>
                <w:sz w:val="16"/>
                <w:szCs w:val="16"/>
                <w:lang w:eastAsia="en-GB"/>
              </w:rPr>
              <w:t>10.6)p</w:t>
            </w:r>
            <w:proofErr w:type="gramEnd"/>
          </w:p>
        </w:tc>
        <w:tc>
          <w:tcPr>
            <w:tcW w:w="1105" w:type="dxa"/>
            <w:tcBorders>
              <w:top w:val="nil"/>
              <w:left w:val="nil"/>
              <w:bottom w:val="double" w:sz="4" w:space="0" w:color="auto"/>
              <w:right w:val="nil"/>
            </w:tcBorders>
            <w:vAlign w:val="bottom"/>
          </w:tcPr>
          <w:p w14:paraId="11F16E01" w14:textId="0A6859D1" w:rsidR="008C676E" w:rsidRDefault="002D1783">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w:t>
            </w:r>
            <w:proofErr w:type="gramStart"/>
            <w:r w:rsidR="00185954">
              <w:rPr>
                <w:rFonts w:ascii="Arial" w:eastAsia="Times New Roman" w:hAnsi="Arial" w:cs="Arial"/>
                <w:sz w:val="16"/>
                <w:szCs w:val="16"/>
                <w:lang w:eastAsia="en-GB"/>
              </w:rPr>
              <w:t>1.8</w:t>
            </w:r>
            <w:r>
              <w:rPr>
                <w:rFonts w:ascii="Arial" w:eastAsia="Times New Roman" w:hAnsi="Arial" w:cs="Arial"/>
                <w:sz w:val="16"/>
                <w:szCs w:val="16"/>
                <w:lang w:eastAsia="en-GB"/>
              </w:rPr>
              <w:t>)p</w:t>
            </w:r>
            <w:proofErr w:type="gramEnd"/>
          </w:p>
        </w:tc>
        <w:tc>
          <w:tcPr>
            <w:tcW w:w="1252" w:type="dxa"/>
            <w:tcBorders>
              <w:top w:val="nil"/>
              <w:left w:val="nil"/>
              <w:bottom w:val="double" w:sz="4" w:space="0" w:color="auto"/>
              <w:right w:val="nil"/>
            </w:tcBorders>
            <w:vAlign w:val="bottom"/>
          </w:tcPr>
          <w:p w14:paraId="7615E976" w14:textId="77777777" w:rsidR="008C676E" w:rsidRDefault="008C676E">
            <w:pPr>
              <w:spacing w:after="0" w:line="240" w:lineRule="auto"/>
              <w:jc w:val="right"/>
              <w:rPr>
                <w:rFonts w:ascii="Arial" w:eastAsia="Times New Roman" w:hAnsi="Arial" w:cs="Arial"/>
                <w:sz w:val="16"/>
                <w:szCs w:val="16"/>
                <w:lang w:eastAsia="en-GB"/>
              </w:rPr>
            </w:pPr>
          </w:p>
        </w:tc>
        <w:tc>
          <w:tcPr>
            <w:tcW w:w="957" w:type="dxa"/>
            <w:tcBorders>
              <w:top w:val="nil"/>
              <w:left w:val="nil"/>
              <w:bottom w:val="double" w:sz="4" w:space="0" w:color="auto"/>
              <w:right w:val="nil"/>
            </w:tcBorders>
            <w:vAlign w:val="bottom"/>
            <w:hideMark/>
          </w:tcPr>
          <w:p w14:paraId="41AA508C" w14:textId="77777777" w:rsidR="008C676E" w:rsidRDefault="008C676E">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w:t>
            </w:r>
            <w:proofErr w:type="gramStart"/>
            <w:r>
              <w:rPr>
                <w:rFonts w:ascii="Arial" w:eastAsia="Times New Roman" w:hAnsi="Arial" w:cs="Arial"/>
                <w:sz w:val="16"/>
                <w:szCs w:val="16"/>
                <w:lang w:eastAsia="en-GB"/>
              </w:rPr>
              <w:t>3.9)p</w:t>
            </w:r>
            <w:proofErr w:type="gramEnd"/>
          </w:p>
        </w:tc>
      </w:tr>
    </w:tbl>
    <w:p w14:paraId="79226824" w14:textId="77777777" w:rsidR="008C676E" w:rsidRDefault="008C676E" w:rsidP="008C676E">
      <w:pPr>
        <w:spacing w:after="0" w:line="240" w:lineRule="auto"/>
        <w:jc w:val="both"/>
        <w:rPr>
          <w:rFonts w:ascii="Arial" w:eastAsia="Times New Roman" w:hAnsi="Arial" w:cs="Arial"/>
          <w:sz w:val="32"/>
          <w:szCs w:val="32"/>
          <w:lang w:eastAsia="en-GB"/>
        </w:rPr>
      </w:pPr>
    </w:p>
    <w:p w14:paraId="6A2944F9" w14:textId="77777777" w:rsidR="00D01DDA" w:rsidRDefault="00D01DDA" w:rsidP="008C676E">
      <w:pPr>
        <w:spacing w:after="0" w:line="240" w:lineRule="auto"/>
        <w:jc w:val="both"/>
        <w:rPr>
          <w:rFonts w:ascii="Arial" w:eastAsia="Times New Roman" w:hAnsi="Arial" w:cs="Arial"/>
          <w:sz w:val="32"/>
          <w:szCs w:val="32"/>
          <w:lang w:eastAsia="en-GB"/>
        </w:rPr>
      </w:pPr>
    </w:p>
    <w:p w14:paraId="78F4ECF8" w14:textId="77777777" w:rsidR="00D01DDA" w:rsidRDefault="00D01DDA" w:rsidP="008C676E">
      <w:pPr>
        <w:spacing w:after="0" w:line="240" w:lineRule="auto"/>
        <w:jc w:val="both"/>
        <w:rPr>
          <w:rFonts w:ascii="Arial" w:eastAsia="Times New Roman" w:hAnsi="Arial" w:cs="Arial"/>
          <w:sz w:val="32"/>
          <w:szCs w:val="32"/>
          <w:lang w:eastAsia="en-GB"/>
        </w:rPr>
      </w:pPr>
    </w:p>
    <w:p w14:paraId="2C91DD60" w14:textId="77777777" w:rsidR="00D01DDA" w:rsidRDefault="00D01DDA" w:rsidP="008C676E">
      <w:pPr>
        <w:spacing w:after="0" w:line="240" w:lineRule="auto"/>
        <w:jc w:val="both"/>
        <w:rPr>
          <w:rFonts w:ascii="Arial" w:eastAsia="Times New Roman" w:hAnsi="Arial" w:cs="Arial"/>
          <w:sz w:val="32"/>
          <w:szCs w:val="32"/>
          <w:lang w:eastAsia="en-GB"/>
        </w:rPr>
      </w:pPr>
    </w:p>
    <w:p w14:paraId="33743FD0" w14:textId="77777777" w:rsidR="00D01DDA" w:rsidRDefault="00D01DDA" w:rsidP="008C676E">
      <w:pPr>
        <w:spacing w:after="0" w:line="240" w:lineRule="auto"/>
        <w:jc w:val="both"/>
        <w:rPr>
          <w:rFonts w:ascii="Arial" w:eastAsia="Times New Roman" w:hAnsi="Arial" w:cs="Arial"/>
          <w:sz w:val="32"/>
          <w:szCs w:val="32"/>
          <w:lang w:eastAsia="en-GB"/>
        </w:rPr>
      </w:pPr>
    </w:p>
    <w:p w14:paraId="6FDC4DE0" w14:textId="77777777" w:rsidR="00177EF6" w:rsidRDefault="00177EF6" w:rsidP="008C676E">
      <w:pPr>
        <w:spacing w:after="0" w:line="240" w:lineRule="auto"/>
        <w:jc w:val="both"/>
        <w:rPr>
          <w:rFonts w:ascii="Arial" w:eastAsia="Times New Roman" w:hAnsi="Arial" w:cs="Arial"/>
          <w:sz w:val="32"/>
          <w:szCs w:val="32"/>
          <w:lang w:eastAsia="en-GB"/>
        </w:rPr>
      </w:pPr>
    </w:p>
    <w:p w14:paraId="13454B38" w14:textId="77777777" w:rsidR="00177EF6" w:rsidRDefault="00177EF6" w:rsidP="008C676E">
      <w:pPr>
        <w:spacing w:after="0" w:line="240" w:lineRule="auto"/>
        <w:jc w:val="both"/>
        <w:rPr>
          <w:rFonts w:ascii="Arial" w:eastAsia="Times New Roman" w:hAnsi="Arial" w:cs="Arial"/>
          <w:sz w:val="32"/>
          <w:szCs w:val="32"/>
          <w:lang w:eastAsia="en-GB"/>
        </w:rPr>
      </w:pPr>
    </w:p>
    <w:p w14:paraId="3F85CA1A" w14:textId="305C4832" w:rsidR="008C676E" w:rsidRDefault="00D01DDA" w:rsidP="008C676E">
      <w:pPr>
        <w:spacing w:after="0" w:line="240" w:lineRule="auto"/>
        <w:jc w:val="both"/>
        <w:rPr>
          <w:rFonts w:ascii="Arial" w:eastAsia="Times New Roman" w:hAnsi="Arial" w:cs="Arial"/>
          <w:sz w:val="32"/>
          <w:szCs w:val="32"/>
          <w:lang w:eastAsia="en-GB"/>
        </w:rPr>
      </w:pPr>
      <w:r>
        <w:rPr>
          <w:rFonts w:ascii="Arial" w:eastAsia="Times New Roman" w:hAnsi="Arial" w:cs="Arial"/>
          <w:sz w:val="32"/>
          <w:szCs w:val="32"/>
          <w:lang w:eastAsia="en-GB"/>
        </w:rPr>
        <w:lastRenderedPageBreak/>
        <w:t>Unaudited c</w:t>
      </w:r>
      <w:r w:rsidR="008C676E">
        <w:rPr>
          <w:rFonts w:ascii="Arial" w:eastAsia="Times New Roman" w:hAnsi="Arial" w:cs="Arial"/>
          <w:sz w:val="32"/>
          <w:szCs w:val="32"/>
          <w:lang w:eastAsia="en-GB"/>
        </w:rPr>
        <w:t>onsolidated statement of changes in equity</w:t>
      </w:r>
    </w:p>
    <w:p w14:paraId="0AA724F6" w14:textId="77777777" w:rsidR="008C676E" w:rsidRDefault="008C676E" w:rsidP="008C676E">
      <w:pPr>
        <w:spacing w:after="0" w:line="240" w:lineRule="auto"/>
        <w:jc w:val="both"/>
        <w:rPr>
          <w:rFonts w:ascii="Arial" w:eastAsia="Times New Roman" w:hAnsi="Arial" w:cs="Arial"/>
          <w:sz w:val="20"/>
          <w:szCs w:val="20"/>
          <w:lang w:eastAsia="en-GB"/>
        </w:rPr>
      </w:pPr>
    </w:p>
    <w:p w14:paraId="494198DB" w14:textId="77777777" w:rsidR="008C676E" w:rsidRDefault="008C676E" w:rsidP="008C676E">
      <w:pPr>
        <w:spacing w:after="0"/>
        <w:jc w:val="both"/>
        <w:rPr>
          <w:rFonts w:ascii="Arial" w:eastAsia="Times New Roman" w:hAnsi="Arial" w:cs="Arial"/>
          <w:sz w:val="20"/>
          <w:szCs w:val="20"/>
          <w:lang w:eastAsia="en-GB"/>
        </w:rPr>
      </w:pPr>
      <w:r>
        <w:rPr>
          <w:rFonts w:ascii="Arial" w:eastAsia="Times New Roman" w:hAnsi="Arial" w:cs="Arial"/>
          <w:sz w:val="20"/>
          <w:szCs w:val="20"/>
          <w:lang w:eastAsia="en-GB"/>
        </w:rPr>
        <w:t>For the year ended 31 March 2024</w:t>
      </w:r>
    </w:p>
    <w:tbl>
      <w:tblPr>
        <w:tblW w:w="9720" w:type="dxa"/>
        <w:tblLayout w:type="fixed"/>
        <w:tblLook w:val="04A0" w:firstRow="1" w:lastRow="0" w:firstColumn="1" w:lastColumn="0" w:noHBand="0" w:noVBand="1"/>
      </w:tblPr>
      <w:tblGrid>
        <w:gridCol w:w="3120"/>
        <w:gridCol w:w="737"/>
        <w:gridCol w:w="977"/>
        <w:gridCol w:w="977"/>
        <w:gridCol w:w="977"/>
        <w:gridCol w:w="977"/>
        <w:gridCol w:w="977"/>
        <w:gridCol w:w="978"/>
      </w:tblGrid>
      <w:tr w:rsidR="008C676E" w14:paraId="7DFAC4FF" w14:textId="77777777" w:rsidTr="008C676E">
        <w:trPr>
          <w:trHeight w:val="283"/>
        </w:trPr>
        <w:tc>
          <w:tcPr>
            <w:tcW w:w="3119" w:type="dxa"/>
            <w:noWrap/>
            <w:vAlign w:val="bottom"/>
            <w:hideMark/>
          </w:tcPr>
          <w:p w14:paraId="7491D8D4" w14:textId="77777777" w:rsidR="008C676E" w:rsidRDefault="008C676E">
            <w:pPr>
              <w:rPr>
                <w:rFonts w:ascii="Arial" w:eastAsia="Times New Roman" w:hAnsi="Arial" w:cs="Arial"/>
                <w:sz w:val="20"/>
                <w:szCs w:val="20"/>
                <w:lang w:eastAsia="en-GB"/>
              </w:rPr>
            </w:pPr>
          </w:p>
        </w:tc>
        <w:tc>
          <w:tcPr>
            <w:tcW w:w="737" w:type="dxa"/>
            <w:vAlign w:val="bottom"/>
            <w:hideMark/>
          </w:tcPr>
          <w:p w14:paraId="1A3843F7" w14:textId="77777777" w:rsidR="008C676E" w:rsidRDefault="008C676E">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Note</w:t>
            </w:r>
          </w:p>
        </w:tc>
        <w:tc>
          <w:tcPr>
            <w:tcW w:w="977" w:type="dxa"/>
            <w:vAlign w:val="bottom"/>
            <w:hideMark/>
          </w:tcPr>
          <w:p w14:paraId="7B941373"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Share capital</w:t>
            </w:r>
          </w:p>
          <w:p w14:paraId="7ABB0FDF"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c>
          <w:tcPr>
            <w:tcW w:w="977" w:type="dxa"/>
            <w:vAlign w:val="bottom"/>
            <w:hideMark/>
          </w:tcPr>
          <w:p w14:paraId="755CC9D5"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Share premium</w:t>
            </w:r>
          </w:p>
          <w:p w14:paraId="03B7D8E8"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c>
          <w:tcPr>
            <w:tcW w:w="977" w:type="dxa"/>
            <w:vAlign w:val="bottom"/>
            <w:hideMark/>
          </w:tcPr>
          <w:p w14:paraId="3F08FEBE"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Merger</w:t>
            </w:r>
          </w:p>
          <w:p w14:paraId="57219D48"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reserve</w:t>
            </w:r>
          </w:p>
          <w:p w14:paraId="3F9BC054"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c>
          <w:tcPr>
            <w:tcW w:w="977" w:type="dxa"/>
            <w:vAlign w:val="bottom"/>
            <w:hideMark/>
          </w:tcPr>
          <w:p w14:paraId="552E22F1"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Other reserves</w:t>
            </w:r>
          </w:p>
          <w:p w14:paraId="65FF5BE1"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c>
          <w:tcPr>
            <w:tcW w:w="977" w:type="dxa"/>
            <w:shd w:val="clear" w:color="auto" w:fill="FFFFFF" w:themeFill="background1"/>
            <w:noWrap/>
            <w:vAlign w:val="bottom"/>
            <w:hideMark/>
          </w:tcPr>
          <w:p w14:paraId="1074A8E6"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Retained earnings/(deficit) £m</w:t>
            </w:r>
          </w:p>
        </w:tc>
        <w:tc>
          <w:tcPr>
            <w:tcW w:w="978" w:type="dxa"/>
            <w:shd w:val="clear" w:color="auto" w:fill="FFFFFF" w:themeFill="background1"/>
            <w:vAlign w:val="bottom"/>
            <w:hideMark/>
          </w:tcPr>
          <w:p w14:paraId="66803115"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     Total         equity</w:t>
            </w:r>
          </w:p>
          <w:p w14:paraId="5EE7CEF0"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r>
      <w:tr w:rsidR="008C676E" w14:paraId="23C9E31B" w14:textId="77777777" w:rsidTr="008C676E">
        <w:trPr>
          <w:trHeight w:val="283"/>
        </w:trPr>
        <w:tc>
          <w:tcPr>
            <w:tcW w:w="3119" w:type="dxa"/>
            <w:noWrap/>
            <w:vAlign w:val="bottom"/>
            <w:hideMark/>
          </w:tcPr>
          <w:p w14:paraId="1864557D" w14:textId="77777777" w:rsidR="008C676E" w:rsidRDefault="008C676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w:t>
            </w:r>
          </w:p>
        </w:tc>
        <w:tc>
          <w:tcPr>
            <w:tcW w:w="737" w:type="dxa"/>
            <w:vAlign w:val="bottom"/>
          </w:tcPr>
          <w:p w14:paraId="5C3050C9" w14:textId="77777777" w:rsidR="008C676E" w:rsidRDefault="008C676E">
            <w:pPr>
              <w:spacing w:after="0" w:line="240" w:lineRule="auto"/>
              <w:jc w:val="center"/>
              <w:rPr>
                <w:rFonts w:ascii="Arial" w:eastAsia="Times New Roman" w:hAnsi="Arial" w:cs="Arial"/>
                <w:sz w:val="20"/>
                <w:szCs w:val="20"/>
                <w:lang w:eastAsia="en-GB"/>
              </w:rPr>
            </w:pPr>
          </w:p>
        </w:tc>
        <w:tc>
          <w:tcPr>
            <w:tcW w:w="977" w:type="dxa"/>
            <w:vAlign w:val="bottom"/>
          </w:tcPr>
          <w:p w14:paraId="44980796"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1767D3CC"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0534E579"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5953F473" w14:textId="77777777" w:rsidR="008C676E" w:rsidRDefault="008C676E">
            <w:pPr>
              <w:spacing w:after="0" w:line="240" w:lineRule="auto"/>
              <w:jc w:val="right"/>
              <w:rPr>
                <w:rFonts w:ascii="Arial" w:eastAsia="Times New Roman" w:hAnsi="Arial" w:cs="Arial"/>
                <w:sz w:val="20"/>
                <w:szCs w:val="20"/>
                <w:lang w:eastAsia="en-GB"/>
              </w:rPr>
            </w:pPr>
          </w:p>
        </w:tc>
        <w:tc>
          <w:tcPr>
            <w:tcW w:w="977" w:type="dxa"/>
            <w:shd w:val="clear" w:color="auto" w:fill="FFFFFF" w:themeFill="background1"/>
            <w:noWrap/>
            <w:vAlign w:val="bottom"/>
            <w:hideMark/>
          </w:tcPr>
          <w:p w14:paraId="04D5C10A" w14:textId="77777777" w:rsidR="008C676E" w:rsidRDefault="008C676E">
            <w:pPr>
              <w:rPr>
                <w:rFonts w:ascii="Arial" w:eastAsia="Times New Roman" w:hAnsi="Arial" w:cs="Arial"/>
                <w:sz w:val="20"/>
                <w:szCs w:val="20"/>
                <w:lang w:eastAsia="en-GB"/>
              </w:rPr>
            </w:pPr>
          </w:p>
        </w:tc>
        <w:tc>
          <w:tcPr>
            <w:tcW w:w="978" w:type="dxa"/>
            <w:shd w:val="clear" w:color="auto" w:fill="FFFFFF" w:themeFill="background1"/>
            <w:vAlign w:val="bottom"/>
          </w:tcPr>
          <w:p w14:paraId="175B4745" w14:textId="77777777" w:rsidR="008C676E" w:rsidRDefault="008C676E">
            <w:pPr>
              <w:spacing w:after="0" w:line="240" w:lineRule="auto"/>
              <w:jc w:val="right"/>
              <w:rPr>
                <w:rFonts w:ascii="Arial" w:eastAsia="Times New Roman" w:hAnsi="Arial" w:cs="Arial"/>
                <w:b/>
                <w:bCs/>
                <w:sz w:val="20"/>
                <w:szCs w:val="20"/>
                <w:lang w:eastAsia="en-GB"/>
              </w:rPr>
            </w:pPr>
          </w:p>
        </w:tc>
      </w:tr>
      <w:tr w:rsidR="008C676E" w14:paraId="697CF680" w14:textId="77777777" w:rsidTr="008C676E">
        <w:trPr>
          <w:trHeight w:val="283"/>
        </w:trPr>
        <w:tc>
          <w:tcPr>
            <w:tcW w:w="3119" w:type="dxa"/>
            <w:noWrap/>
            <w:vAlign w:val="center"/>
            <w:hideMark/>
          </w:tcPr>
          <w:p w14:paraId="131A4FC3"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sz w:val="18"/>
                <w:szCs w:val="18"/>
                <w:lang w:eastAsia="en-GB"/>
              </w:rPr>
              <w:t xml:space="preserve">Balance </w:t>
            </w:r>
            <w:proofErr w:type="gramStart"/>
            <w:r>
              <w:rPr>
                <w:rFonts w:ascii="Arial" w:eastAsia="Times New Roman" w:hAnsi="Arial" w:cs="Arial"/>
                <w:sz w:val="18"/>
                <w:szCs w:val="18"/>
                <w:lang w:eastAsia="en-GB"/>
              </w:rPr>
              <w:t>at</w:t>
            </w:r>
            <w:proofErr w:type="gramEnd"/>
            <w:r>
              <w:rPr>
                <w:rFonts w:ascii="Arial" w:eastAsia="Times New Roman" w:hAnsi="Arial" w:cs="Arial"/>
                <w:sz w:val="18"/>
                <w:szCs w:val="18"/>
                <w:lang w:eastAsia="en-GB"/>
              </w:rPr>
              <w:t xml:space="preserve"> 1 April 2022</w:t>
            </w:r>
          </w:p>
        </w:tc>
        <w:tc>
          <w:tcPr>
            <w:tcW w:w="737" w:type="dxa"/>
            <w:vAlign w:val="bottom"/>
          </w:tcPr>
          <w:p w14:paraId="7372B438" w14:textId="77777777" w:rsidR="008C676E" w:rsidRDefault="008C676E">
            <w:pPr>
              <w:spacing w:after="0" w:line="240" w:lineRule="auto"/>
              <w:jc w:val="center"/>
              <w:rPr>
                <w:rFonts w:ascii="Arial" w:eastAsia="Times New Roman" w:hAnsi="Arial" w:cs="Arial"/>
                <w:sz w:val="20"/>
                <w:szCs w:val="20"/>
                <w:lang w:eastAsia="en-GB"/>
              </w:rPr>
            </w:pPr>
          </w:p>
        </w:tc>
        <w:tc>
          <w:tcPr>
            <w:tcW w:w="977" w:type="dxa"/>
            <w:vAlign w:val="bottom"/>
            <w:hideMark/>
          </w:tcPr>
          <w:p w14:paraId="1278B405"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47.9</w:t>
            </w:r>
          </w:p>
        </w:tc>
        <w:tc>
          <w:tcPr>
            <w:tcW w:w="977" w:type="dxa"/>
            <w:vAlign w:val="bottom"/>
            <w:hideMark/>
          </w:tcPr>
          <w:p w14:paraId="3B9ED80B"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384.8</w:t>
            </w:r>
          </w:p>
        </w:tc>
        <w:tc>
          <w:tcPr>
            <w:tcW w:w="977" w:type="dxa"/>
            <w:vAlign w:val="bottom"/>
            <w:hideMark/>
          </w:tcPr>
          <w:p w14:paraId="57D2E8A0"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9.9</w:t>
            </w:r>
          </w:p>
        </w:tc>
        <w:tc>
          <w:tcPr>
            <w:tcW w:w="977" w:type="dxa"/>
            <w:vAlign w:val="bottom"/>
            <w:hideMark/>
          </w:tcPr>
          <w:p w14:paraId="513318AB"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977" w:type="dxa"/>
            <w:shd w:val="clear" w:color="auto" w:fill="FFFFFF" w:themeFill="background1"/>
            <w:noWrap/>
            <w:vAlign w:val="bottom"/>
            <w:hideMark/>
          </w:tcPr>
          <w:p w14:paraId="30462A18"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(0.1)</w:t>
            </w:r>
          </w:p>
        </w:tc>
        <w:tc>
          <w:tcPr>
            <w:tcW w:w="978" w:type="dxa"/>
            <w:shd w:val="clear" w:color="auto" w:fill="FFFFFF" w:themeFill="background1"/>
            <w:vAlign w:val="bottom"/>
            <w:hideMark/>
          </w:tcPr>
          <w:p w14:paraId="0EC9A99F"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446.0</w:t>
            </w:r>
          </w:p>
        </w:tc>
      </w:tr>
      <w:tr w:rsidR="008C676E" w14:paraId="5E1D8DFE" w14:textId="77777777" w:rsidTr="008C676E">
        <w:trPr>
          <w:trHeight w:val="283"/>
        </w:trPr>
        <w:tc>
          <w:tcPr>
            <w:tcW w:w="3119" w:type="dxa"/>
            <w:tcBorders>
              <w:top w:val="nil"/>
              <w:left w:val="nil"/>
              <w:bottom w:val="single" w:sz="4" w:space="0" w:color="auto"/>
              <w:right w:val="nil"/>
            </w:tcBorders>
            <w:noWrap/>
            <w:vAlign w:val="center"/>
            <w:hideMark/>
          </w:tcPr>
          <w:p w14:paraId="7A09801C"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Loss for the year</w:t>
            </w:r>
          </w:p>
        </w:tc>
        <w:tc>
          <w:tcPr>
            <w:tcW w:w="737" w:type="dxa"/>
            <w:tcBorders>
              <w:top w:val="nil"/>
              <w:left w:val="nil"/>
              <w:bottom w:val="single" w:sz="4" w:space="0" w:color="auto"/>
              <w:right w:val="nil"/>
            </w:tcBorders>
            <w:vAlign w:val="bottom"/>
          </w:tcPr>
          <w:p w14:paraId="5984BCCA" w14:textId="77777777" w:rsidR="008C676E" w:rsidRDefault="008C676E">
            <w:pPr>
              <w:spacing w:after="0" w:line="240" w:lineRule="auto"/>
              <w:jc w:val="center"/>
              <w:rPr>
                <w:rFonts w:ascii="Arial" w:eastAsia="Times New Roman" w:hAnsi="Arial" w:cs="Arial"/>
                <w:sz w:val="20"/>
                <w:szCs w:val="20"/>
                <w:lang w:eastAsia="en-GB"/>
              </w:rPr>
            </w:pPr>
          </w:p>
        </w:tc>
        <w:tc>
          <w:tcPr>
            <w:tcW w:w="977" w:type="dxa"/>
            <w:tcBorders>
              <w:top w:val="nil"/>
              <w:left w:val="nil"/>
              <w:bottom w:val="single" w:sz="4" w:space="0" w:color="auto"/>
              <w:right w:val="nil"/>
            </w:tcBorders>
            <w:vAlign w:val="bottom"/>
            <w:hideMark/>
          </w:tcPr>
          <w:p w14:paraId="544B6CB8"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tcBorders>
              <w:top w:val="nil"/>
              <w:left w:val="nil"/>
              <w:bottom w:val="single" w:sz="4" w:space="0" w:color="auto"/>
              <w:right w:val="nil"/>
            </w:tcBorders>
            <w:vAlign w:val="bottom"/>
            <w:hideMark/>
          </w:tcPr>
          <w:p w14:paraId="6C96B8CA"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tcBorders>
              <w:top w:val="nil"/>
              <w:left w:val="nil"/>
              <w:bottom w:val="single" w:sz="4" w:space="0" w:color="auto"/>
              <w:right w:val="nil"/>
            </w:tcBorders>
            <w:vAlign w:val="bottom"/>
            <w:hideMark/>
          </w:tcPr>
          <w:p w14:paraId="6D3C1770"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tcBorders>
              <w:top w:val="nil"/>
              <w:left w:val="nil"/>
              <w:bottom w:val="single" w:sz="4" w:space="0" w:color="auto"/>
              <w:right w:val="nil"/>
            </w:tcBorders>
            <w:vAlign w:val="bottom"/>
            <w:hideMark/>
          </w:tcPr>
          <w:p w14:paraId="355C1FD8"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tcBorders>
              <w:top w:val="nil"/>
              <w:left w:val="nil"/>
              <w:bottom w:val="single" w:sz="4" w:space="0" w:color="auto"/>
              <w:right w:val="nil"/>
            </w:tcBorders>
            <w:shd w:val="clear" w:color="auto" w:fill="FFFFFF" w:themeFill="background1"/>
            <w:noWrap/>
            <w:vAlign w:val="bottom"/>
            <w:hideMark/>
          </w:tcPr>
          <w:p w14:paraId="2A3E7A8F"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(3.8)</w:t>
            </w:r>
          </w:p>
        </w:tc>
        <w:tc>
          <w:tcPr>
            <w:tcW w:w="978" w:type="dxa"/>
            <w:tcBorders>
              <w:top w:val="nil"/>
              <w:left w:val="nil"/>
              <w:bottom w:val="single" w:sz="4" w:space="0" w:color="auto"/>
              <w:right w:val="nil"/>
            </w:tcBorders>
            <w:shd w:val="clear" w:color="auto" w:fill="FFFFFF" w:themeFill="background1"/>
            <w:vAlign w:val="bottom"/>
            <w:hideMark/>
          </w:tcPr>
          <w:p w14:paraId="39F098AA"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(3.8)</w:t>
            </w:r>
          </w:p>
        </w:tc>
      </w:tr>
      <w:tr w:rsidR="008C676E" w14:paraId="5A814F7C" w14:textId="77777777" w:rsidTr="008C676E">
        <w:trPr>
          <w:trHeight w:val="283"/>
        </w:trPr>
        <w:tc>
          <w:tcPr>
            <w:tcW w:w="3119" w:type="dxa"/>
            <w:tcBorders>
              <w:top w:val="single" w:sz="4" w:space="0" w:color="auto"/>
              <w:left w:val="nil"/>
              <w:bottom w:val="single" w:sz="4" w:space="0" w:color="auto"/>
              <w:right w:val="nil"/>
            </w:tcBorders>
            <w:noWrap/>
            <w:vAlign w:val="center"/>
            <w:hideMark/>
          </w:tcPr>
          <w:p w14:paraId="2EDD3A1E"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Total comprehensive loss for the year</w:t>
            </w:r>
          </w:p>
        </w:tc>
        <w:tc>
          <w:tcPr>
            <w:tcW w:w="737" w:type="dxa"/>
            <w:tcBorders>
              <w:top w:val="single" w:sz="4" w:space="0" w:color="auto"/>
              <w:left w:val="nil"/>
              <w:bottom w:val="single" w:sz="4" w:space="0" w:color="auto"/>
              <w:right w:val="nil"/>
            </w:tcBorders>
            <w:vAlign w:val="bottom"/>
          </w:tcPr>
          <w:p w14:paraId="780B5980" w14:textId="77777777" w:rsidR="008C676E" w:rsidRDefault="008C676E">
            <w:pPr>
              <w:spacing w:after="0" w:line="240" w:lineRule="auto"/>
              <w:jc w:val="center"/>
              <w:rPr>
                <w:rFonts w:ascii="Arial" w:eastAsia="Times New Roman" w:hAnsi="Arial" w:cs="Arial"/>
                <w:b/>
                <w:bCs/>
                <w:sz w:val="20"/>
                <w:szCs w:val="20"/>
                <w:lang w:eastAsia="en-GB"/>
              </w:rPr>
            </w:pPr>
          </w:p>
        </w:tc>
        <w:tc>
          <w:tcPr>
            <w:tcW w:w="977" w:type="dxa"/>
            <w:tcBorders>
              <w:top w:val="single" w:sz="4" w:space="0" w:color="auto"/>
              <w:left w:val="nil"/>
              <w:bottom w:val="single" w:sz="4" w:space="0" w:color="auto"/>
              <w:right w:val="nil"/>
            </w:tcBorders>
            <w:vAlign w:val="bottom"/>
            <w:hideMark/>
          </w:tcPr>
          <w:p w14:paraId="66758413"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4558C16A"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7900EAA7"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3336FF21"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shd w:val="clear" w:color="auto" w:fill="FFFFFF" w:themeFill="background1"/>
            <w:noWrap/>
            <w:vAlign w:val="bottom"/>
            <w:hideMark/>
          </w:tcPr>
          <w:p w14:paraId="5FE67592"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(3.8)</w:t>
            </w:r>
          </w:p>
        </w:tc>
        <w:tc>
          <w:tcPr>
            <w:tcW w:w="978" w:type="dxa"/>
            <w:tcBorders>
              <w:top w:val="single" w:sz="4" w:space="0" w:color="auto"/>
              <w:left w:val="nil"/>
              <w:bottom w:val="single" w:sz="4" w:space="0" w:color="auto"/>
              <w:right w:val="nil"/>
            </w:tcBorders>
            <w:shd w:val="clear" w:color="auto" w:fill="FFFFFF" w:themeFill="background1"/>
            <w:vAlign w:val="bottom"/>
            <w:hideMark/>
          </w:tcPr>
          <w:p w14:paraId="2739410D"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(3.8)</w:t>
            </w:r>
          </w:p>
        </w:tc>
      </w:tr>
      <w:tr w:rsidR="008C676E" w14:paraId="430621DC" w14:textId="77777777" w:rsidTr="008C676E">
        <w:trPr>
          <w:trHeight w:val="283"/>
        </w:trPr>
        <w:tc>
          <w:tcPr>
            <w:tcW w:w="3119" w:type="dxa"/>
            <w:tcBorders>
              <w:top w:val="single" w:sz="4" w:space="0" w:color="auto"/>
              <w:left w:val="nil"/>
              <w:bottom w:val="nil"/>
              <w:right w:val="nil"/>
            </w:tcBorders>
            <w:noWrap/>
            <w:vAlign w:val="center"/>
          </w:tcPr>
          <w:p w14:paraId="2DD337FE" w14:textId="77777777" w:rsidR="008C676E" w:rsidRDefault="008C676E">
            <w:pPr>
              <w:spacing w:after="0" w:line="240" w:lineRule="auto"/>
              <w:rPr>
                <w:rFonts w:ascii="Arial" w:eastAsia="Times New Roman" w:hAnsi="Arial" w:cs="Arial"/>
                <w:b/>
                <w:bCs/>
                <w:sz w:val="18"/>
                <w:szCs w:val="18"/>
                <w:lang w:eastAsia="en-GB"/>
              </w:rPr>
            </w:pPr>
          </w:p>
        </w:tc>
        <w:tc>
          <w:tcPr>
            <w:tcW w:w="737" w:type="dxa"/>
            <w:tcBorders>
              <w:top w:val="single" w:sz="4" w:space="0" w:color="auto"/>
              <w:left w:val="nil"/>
              <w:bottom w:val="nil"/>
              <w:right w:val="nil"/>
            </w:tcBorders>
            <w:vAlign w:val="bottom"/>
          </w:tcPr>
          <w:p w14:paraId="1B17CCFD" w14:textId="77777777" w:rsidR="008C676E" w:rsidRDefault="008C676E">
            <w:pPr>
              <w:spacing w:after="0" w:line="240" w:lineRule="auto"/>
              <w:jc w:val="center"/>
              <w:rPr>
                <w:rFonts w:ascii="Arial" w:eastAsia="Times New Roman" w:hAnsi="Arial" w:cs="Arial"/>
                <w:sz w:val="20"/>
                <w:szCs w:val="20"/>
                <w:lang w:eastAsia="en-GB"/>
              </w:rPr>
            </w:pPr>
          </w:p>
        </w:tc>
        <w:tc>
          <w:tcPr>
            <w:tcW w:w="977" w:type="dxa"/>
            <w:tcBorders>
              <w:top w:val="single" w:sz="4" w:space="0" w:color="auto"/>
              <w:left w:val="nil"/>
              <w:bottom w:val="nil"/>
              <w:right w:val="nil"/>
            </w:tcBorders>
            <w:vAlign w:val="bottom"/>
          </w:tcPr>
          <w:p w14:paraId="7B1FC4D9" w14:textId="77777777" w:rsidR="008C676E" w:rsidRDefault="008C676E">
            <w:pPr>
              <w:spacing w:after="0" w:line="240" w:lineRule="auto"/>
              <w:jc w:val="right"/>
              <w:rPr>
                <w:rFonts w:ascii="Arial" w:eastAsia="Times New Roman" w:hAnsi="Arial" w:cs="Arial"/>
                <w:sz w:val="20"/>
                <w:szCs w:val="20"/>
                <w:lang w:eastAsia="en-GB"/>
              </w:rPr>
            </w:pPr>
          </w:p>
        </w:tc>
        <w:tc>
          <w:tcPr>
            <w:tcW w:w="977" w:type="dxa"/>
            <w:tcBorders>
              <w:top w:val="single" w:sz="4" w:space="0" w:color="auto"/>
              <w:left w:val="nil"/>
              <w:bottom w:val="nil"/>
              <w:right w:val="nil"/>
            </w:tcBorders>
            <w:vAlign w:val="bottom"/>
          </w:tcPr>
          <w:p w14:paraId="0CCFA8DA" w14:textId="77777777" w:rsidR="008C676E" w:rsidRDefault="008C676E">
            <w:pPr>
              <w:spacing w:after="0" w:line="240" w:lineRule="auto"/>
              <w:jc w:val="right"/>
              <w:rPr>
                <w:rFonts w:ascii="Arial" w:eastAsia="Times New Roman" w:hAnsi="Arial" w:cs="Arial"/>
                <w:sz w:val="20"/>
                <w:szCs w:val="20"/>
                <w:lang w:eastAsia="en-GB"/>
              </w:rPr>
            </w:pPr>
          </w:p>
        </w:tc>
        <w:tc>
          <w:tcPr>
            <w:tcW w:w="977" w:type="dxa"/>
            <w:tcBorders>
              <w:top w:val="single" w:sz="4" w:space="0" w:color="auto"/>
              <w:left w:val="nil"/>
              <w:bottom w:val="nil"/>
              <w:right w:val="nil"/>
            </w:tcBorders>
            <w:vAlign w:val="bottom"/>
          </w:tcPr>
          <w:p w14:paraId="158D7BF4" w14:textId="77777777" w:rsidR="008C676E" w:rsidRDefault="008C676E">
            <w:pPr>
              <w:spacing w:after="0" w:line="240" w:lineRule="auto"/>
              <w:jc w:val="right"/>
              <w:rPr>
                <w:rFonts w:ascii="Arial" w:eastAsia="Times New Roman" w:hAnsi="Arial" w:cs="Arial"/>
                <w:sz w:val="20"/>
                <w:szCs w:val="20"/>
                <w:lang w:eastAsia="en-GB"/>
              </w:rPr>
            </w:pPr>
          </w:p>
        </w:tc>
        <w:tc>
          <w:tcPr>
            <w:tcW w:w="977" w:type="dxa"/>
            <w:tcBorders>
              <w:top w:val="single" w:sz="4" w:space="0" w:color="auto"/>
              <w:left w:val="nil"/>
              <w:bottom w:val="nil"/>
              <w:right w:val="nil"/>
            </w:tcBorders>
            <w:vAlign w:val="bottom"/>
          </w:tcPr>
          <w:p w14:paraId="6FD9016D" w14:textId="77777777" w:rsidR="008C676E" w:rsidRDefault="008C676E">
            <w:pPr>
              <w:spacing w:after="0" w:line="240" w:lineRule="auto"/>
              <w:jc w:val="right"/>
              <w:rPr>
                <w:rFonts w:ascii="Arial" w:eastAsia="Times New Roman" w:hAnsi="Arial" w:cs="Arial"/>
                <w:sz w:val="20"/>
                <w:szCs w:val="20"/>
                <w:lang w:eastAsia="en-GB"/>
              </w:rPr>
            </w:pPr>
          </w:p>
        </w:tc>
        <w:tc>
          <w:tcPr>
            <w:tcW w:w="977" w:type="dxa"/>
            <w:tcBorders>
              <w:top w:val="single" w:sz="4" w:space="0" w:color="auto"/>
              <w:left w:val="nil"/>
              <w:bottom w:val="nil"/>
              <w:right w:val="nil"/>
            </w:tcBorders>
            <w:shd w:val="clear" w:color="auto" w:fill="FFFFFF" w:themeFill="background1"/>
            <w:noWrap/>
            <w:vAlign w:val="bottom"/>
          </w:tcPr>
          <w:p w14:paraId="73189EDE" w14:textId="77777777" w:rsidR="008C676E" w:rsidRDefault="008C676E">
            <w:pPr>
              <w:spacing w:after="0" w:line="240" w:lineRule="auto"/>
              <w:jc w:val="right"/>
              <w:rPr>
                <w:rFonts w:ascii="Arial" w:eastAsia="Times New Roman" w:hAnsi="Arial" w:cs="Arial"/>
                <w:b/>
                <w:bCs/>
                <w:sz w:val="20"/>
                <w:szCs w:val="20"/>
                <w:lang w:eastAsia="en-GB"/>
              </w:rPr>
            </w:pPr>
          </w:p>
        </w:tc>
        <w:tc>
          <w:tcPr>
            <w:tcW w:w="978" w:type="dxa"/>
            <w:tcBorders>
              <w:top w:val="single" w:sz="4" w:space="0" w:color="auto"/>
              <w:left w:val="nil"/>
              <w:bottom w:val="nil"/>
              <w:right w:val="nil"/>
            </w:tcBorders>
            <w:shd w:val="clear" w:color="auto" w:fill="FFFFFF" w:themeFill="background1"/>
            <w:vAlign w:val="bottom"/>
          </w:tcPr>
          <w:p w14:paraId="129396A0" w14:textId="77777777" w:rsidR="008C676E" w:rsidRDefault="008C676E">
            <w:pPr>
              <w:spacing w:after="0" w:line="240" w:lineRule="auto"/>
              <w:jc w:val="right"/>
              <w:rPr>
                <w:rFonts w:ascii="Arial" w:eastAsia="Times New Roman" w:hAnsi="Arial" w:cs="Arial"/>
                <w:b/>
                <w:bCs/>
                <w:sz w:val="20"/>
                <w:szCs w:val="20"/>
                <w:lang w:eastAsia="en-GB"/>
              </w:rPr>
            </w:pPr>
          </w:p>
        </w:tc>
      </w:tr>
      <w:tr w:rsidR="008C676E" w14:paraId="40261070" w14:textId="77777777" w:rsidTr="008C676E">
        <w:trPr>
          <w:trHeight w:val="283"/>
        </w:trPr>
        <w:tc>
          <w:tcPr>
            <w:tcW w:w="3119" w:type="dxa"/>
            <w:noWrap/>
            <w:vAlign w:val="center"/>
            <w:hideMark/>
          </w:tcPr>
          <w:p w14:paraId="5D4DD56E"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Transaction with owners</w:t>
            </w:r>
          </w:p>
        </w:tc>
        <w:tc>
          <w:tcPr>
            <w:tcW w:w="737" w:type="dxa"/>
            <w:vAlign w:val="bottom"/>
          </w:tcPr>
          <w:p w14:paraId="0E01B501" w14:textId="77777777" w:rsidR="008C676E" w:rsidRDefault="008C676E">
            <w:pPr>
              <w:spacing w:after="0" w:line="240" w:lineRule="auto"/>
              <w:jc w:val="center"/>
              <w:rPr>
                <w:rFonts w:ascii="Arial" w:eastAsia="Times New Roman" w:hAnsi="Arial" w:cs="Arial"/>
                <w:sz w:val="20"/>
                <w:szCs w:val="20"/>
                <w:lang w:eastAsia="en-GB"/>
              </w:rPr>
            </w:pPr>
          </w:p>
        </w:tc>
        <w:tc>
          <w:tcPr>
            <w:tcW w:w="977" w:type="dxa"/>
            <w:vAlign w:val="bottom"/>
          </w:tcPr>
          <w:p w14:paraId="7289AB3F"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267B7F75"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6AD570CF"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1955B614" w14:textId="77777777" w:rsidR="008C676E" w:rsidRDefault="008C676E">
            <w:pPr>
              <w:spacing w:after="0" w:line="240" w:lineRule="auto"/>
              <w:jc w:val="right"/>
              <w:rPr>
                <w:rFonts w:ascii="Arial" w:eastAsia="Times New Roman" w:hAnsi="Arial" w:cs="Arial"/>
                <w:sz w:val="20"/>
                <w:szCs w:val="20"/>
                <w:lang w:eastAsia="en-GB"/>
              </w:rPr>
            </w:pPr>
          </w:p>
        </w:tc>
        <w:tc>
          <w:tcPr>
            <w:tcW w:w="977" w:type="dxa"/>
            <w:shd w:val="clear" w:color="auto" w:fill="FFFFFF" w:themeFill="background1"/>
            <w:noWrap/>
            <w:vAlign w:val="bottom"/>
          </w:tcPr>
          <w:p w14:paraId="0836E0EE" w14:textId="77777777" w:rsidR="008C676E" w:rsidRDefault="008C676E">
            <w:pPr>
              <w:spacing w:after="0" w:line="240" w:lineRule="auto"/>
              <w:jc w:val="right"/>
              <w:rPr>
                <w:rFonts w:ascii="Arial" w:eastAsia="Times New Roman" w:hAnsi="Arial" w:cs="Arial"/>
                <w:b/>
                <w:bCs/>
                <w:sz w:val="20"/>
                <w:szCs w:val="20"/>
                <w:lang w:eastAsia="en-GB"/>
              </w:rPr>
            </w:pPr>
          </w:p>
        </w:tc>
        <w:tc>
          <w:tcPr>
            <w:tcW w:w="978" w:type="dxa"/>
            <w:shd w:val="clear" w:color="auto" w:fill="FFFFFF" w:themeFill="background1"/>
            <w:vAlign w:val="bottom"/>
          </w:tcPr>
          <w:p w14:paraId="3C5FBEC3" w14:textId="77777777" w:rsidR="008C676E" w:rsidRDefault="008C676E">
            <w:pPr>
              <w:spacing w:after="0" w:line="240" w:lineRule="auto"/>
              <w:jc w:val="right"/>
              <w:rPr>
                <w:rFonts w:ascii="Arial" w:eastAsia="Times New Roman" w:hAnsi="Arial" w:cs="Arial"/>
                <w:b/>
                <w:bCs/>
                <w:sz w:val="20"/>
                <w:szCs w:val="20"/>
                <w:lang w:eastAsia="en-GB"/>
              </w:rPr>
            </w:pPr>
          </w:p>
        </w:tc>
      </w:tr>
      <w:tr w:rsidR="008C676E" w14:paraId="0D8B8C96" w14:textId="77777777" w:rsidTr="008C676E">
        <w:trPr>
          <w:trHeight w:val="283"/>
        </w:trPr>
        <w:tc>
          <w:tcPr>
            <w:tcW w:w="3119" w:type="dxa"/>
            <w:noWrap/>
            <w:vAlign w:val="center"/>
            <w:hideMark/>
          </w:tcPr>
          <w:p w14:paraId="0F516B1D"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Share-based payments</w:t>
            </w:r>
          </w:p>
        </w:tc>
        <w:tc>
          <w:tcPr>
            <w:tcW w:w="737" w:type="dxa"/>
            <w:vAlign w:val="bottom"/>
          </w:tcPr>
          <w:p w14:paraId="4186E385" w14:textId="77777777" w:rsidR="008C676E" w:rsidRDefault="008C676E">
            <w:pPr>
              <w:spacing w:after="0" w:line="240" w:lineRule="auto"/>
              <w:jc w:val="center"/>
              <w:rPr>
                <w:rFonts w:ascii="Arial" w:eastAsia="Times New Roman" w:hAnsi="Arial" w:cs="Arial"/>
                <w:sz w:val="20"/>
                <w:szCs w:val="20"/>
                <w:lang w:eastAsia="en-GB"/>
              </w:rPr>
            </w:pPr>
          </w:p>
        </w:tc>
        <w:tc>
          <w:tcPr>
            <w:tcW w:w="977" w:type="dxa"/>
            <w:vAlign w:val="bottom"/>
            <w:hideMark/>
          </w:tcPr>
          <w:p w14:paraId="6ED330B1"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36FFEC2A"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1313D676"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7B17201D"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977" w:type="dxa"/>
            <w:shd w:val="clear" w:color="auto" w:fill="FFFFFF" w:themeFill="background1"/>
            <w:noWrap/>
            <w:vAlign w:val="bottom"/>
            <w:hideMark/>
          </w:tcPr>
          <w:p w14:paraId="41380207" w14:textId="77777777" w:rsidR="008C676E" w:rsidRDefault="008C676E">
            <w:pPr>
              <w:spacing w:after="0" w:line="240" w:lineRule="auto"/>
              <w:jc w:val="right"/>
              <w:rPr>
                <w:rFonts w:ascii="Arial" w:hAnsi="Arial" w:cs="Arial"/>
                <w:sz w:val="20"/>
                <w:szCs w:val="20"/>
              </w:rPr>
            </w:pPr>
            <w:r>
              <w:rPr>
                <w:rFonts w:ascii="Arial" w:hAnsi="Arial" w:cs="Arial"/>
                <w:sz w:val="20"/>
                <w:szCs w:val="20"/>
              </w:rPr>
              <w:t>-</w:t>
            </w:r>
          </w:p>
        </w:tc>
        <w:tc>
          <w:tcPr>
            <w:tcW w:w="978" w:type="dxa"/>
            <w:shd w:val="clear" w:color="auto" w:fill="FFFFFF" w:themeFill="background1"/>
            <w:vAlign w:val="bottom"/>
            <w:hideMark/>
          </w:tcPr>
          <w:p w14:paraId="1CB2AC5F" w14:textId="77777777" w:rsidR="008C676E" w:rsidRDefault="008C676E">
            <w:pPr>
              <w:spacing w:after="0" w:line="240" w:lineRule="auto"/>
              <w:jc w:val="right"/>
              <w:rPr>
                <w:rFonts w:ascii="Arial" w:hAnsi="Arial" w:cs="Arial"/>
                <w:sz w:val="20"/>
                <w:szCs w:val="20"/>
              </w:rPr>
            </w:pPr>
            <w:r>
              <w:rPr>
                <w:rFonts w:ascii="Arial" w:hAnsi="Arial" w:cs="Arial"/>
                <w:sz w:val="20"/>
                <w:szCs w:val="20"/>
              </w:rPr>
              <w:t>2.3</w:t>
            </w:r>
          </w:p>
        </w:tc>
      </w:tr>
      <w:tr w:rsidR="008C676E" w14:paraId="623A3C88" w14:textId="77777777" w:rsidTr="008C676E">
        <w:trPr>
          <w:trHeight w:val="283"/>
        </w:trPr>
        <w:tc>
          <w:tcPr>
            <w:tcW w:w="3119" w:type="dxa"/>
            <w:noWrap/>
            <w:vAlign w:val="center"/>
            <w:hideMark/>
          </w:tcPr>
          <w:p w14:paraId="3D9D0253"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Deferred tax on share-based payments</w:t>
            </w:r>
          </w:p>
        </w:tc>
        <w:tc>
          <w:tcPr>
            <w:tcW w:w="737" w:type="dxa"/>
            <w:vAlign w:val="bottom"/>
          </w:tcPr>
          <w:p w14:paraId="4B6F0DF5" w14:textId="77777777" w:rsidR="008C676E" w:rsidRDefault="008C676E">
            <w:pPr>
              <w:spacing w:after="0" w:line="240" w:lineRule="auto"/>
              <w:jc w:val="center"/>
              <w:rPr>
                <w:rFonts w:ascii="Arial" w:eastAsia="Times New Roman" w:hAnsi="Arial" w:cs="Arial"/>
                <w:sz w:val="20"/>
                <w:szCs w:val="20"/>
                <w:lang w:eastAsia="en-GB"/>
              </w:rPr>
            </w:pPr>
          </w:p>
        </w:tc>
        <w:tc>
          <w:tcPr>
            <w:tcW w:w="977" w:type="dxa"/>
            <w:vAlign w:val="bottom"/>
            <w:hideMark/>
          </w:tcPr>
          <w:p w14:paraId="7E7747BE"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410838C3"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73766AAD"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20E766E3"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977" w:type="dxa"/>
            <w:shd w:val="clear" w:color="auto" w:fill="FFFFFF" w:themeFill="background1"/>
            <w:noWrap/>
            <w:vAlign w:val="bottom"/>
            <w:hideMark/>
          </w:tcPr>
          <w:p w14:paraId="6862C5A4" w14:textId="77777777" w:rsidR="008C676E" w:rsidRDefault="008C676E">
            <w:pPr>
              <w:spacing w:after="0" w:line="240" w:lineRule="auto"/>
              <w:jc w:val="right"/>
              <w:rPr>
                <w:rFonts w:ascii="Arial" w:hAnsi="Arial" w:cs="Arial"/>
                <w:sz w:val="20"/>
                <w:szCs w:val="20"/>
              </w:rPr>
            </w:pPr>
            <w:r>
              <w:rPr>
                <w:rFonts w:ascii="Arial" w:hAnsi="Arial" w:cs="Arial"/>
                <w:sz w:val="20"/>
                <w:szCs w:val="20"/>
              </w:rPr>
              <w:t>-</w:t>
            </w:r>
          </w:p>
        </w:tc>
        <w:tc>
          <w:tcPr>
            <w:tcW w:w="978" w:type="dxa"/>
            <w:shd w:val="clear" w:color="auto" w:fill="FFFFFF" w:themeFill="background1"/>
            <w:vAlign w:val="bottom"/>
            <w:hideMark/>
          </w:tcPr>
          <w:p w14:paraId="304500BE" w14:textId="77777777" w:rsidR="008C676E" w:rsidRDefault="008C676E">
            <w:pPr>
              <w:spacing w:after="0" w:line="240" w:lineRule="auto"/>
              <w:jc w:val="right"/>
              <w:rPr>
                <w:rFonts w:ascii="Arial" w:hAnsi="Arial" w:cs="Arial"/>
                <w:sz w:val="20"/>
                <w:szCs w:val="20"/>
              </w:rPr>
            </w:pPr>
            <w:r>
              <w:rPr>
                <w:rFonts w:ascii="Arial" w:hAnsi="Arial" w:cs="Arial"/>
                <w:sz w:val="20"/>
                <w:szCs w:val="20"/>
              </w:rPr>
              <w:t>(1.2)</w:t>
            </w:r>
          </w:p>
        </w:tc>
      </w:tr>
      <w:tr w:rsidR="008C676E" w14:paraId="6D43BD11" w14:textId="77777777" w:rsidTr="008C676E">
        <w:trPr>
          <w:trHeight w:val="283"/>
        </w:trPr>
        <w:tc>
          <w:tcPr>
            <w:tcW w:w="3119" w:type="dxa"/>
            <w:tcBorders>
              <w:top w:val="single" w:sz="4" w:space="0" w:color="auto"/>
              <w:left w:val="nil"/>
              <w:bottom w:val="single" w:sz="4" w:space="0" w:color="auto"/>
              <w:right w:val="nil"/>
            </w:tcBorders>
            <w:noWrap/>
            <w:vAlign w:val="center"/>
          </w:tcPr>
          <w:p w14:paraId="6F31207E" w14:textId="77777777" w:rsidR="008C676E" w:rsidRDefault="008C676E">
            <w:pPr>
              <w:spacing w:after="0" w:line="240" w:lineRule="auto"/>
              <w:rPr>
                <w:rFonts w:ascii="Arial" w:eastAsia="Times New Roman" w:hAnsi="Arial" w:cs="Arial"/>
                <w:sz w:val="18"/>
                <w:szCs w:val="18"/>
                <w:lang w:eastAsia="en-GB"/>
              </w:rPr>
            </w:pPr>
          </w:p>
        </w:tc>
        <w:tc>
          <w:tcPr>
            <w:tcW w:w="737" w:type="dxa"/>
            <w:tcBorders>
              <w:top w:val="single" w:sz="4" w:space="0" w:color="auto"/>
              <w:left w:val="nil"/>
              <w:bottom w:val="single" w:sz="4" w:space="0" w:color="auto"/>
              <w:right w:val="nil"/>
            </w:tcBorders>
            <w:vAlign w:val="bottom"/>
          </w:tcPr>
          <w:p w14:paraId="4AB881FA" w14:textId="77777777" w:rsidR="008C676E" w:rsidRDefault="008C676E">
            <w:pPr>
              <w:spacing w:after="0" w:line="240" w:lineRule="auto"/>
              <w:jc w:val="center"/>
              <w:rPr>
                <w:rFonts w:ascii="Arial" w:eastAsia="Times New Roman" w:hAnsi="Arial" w:cs="Arial"/>
                <w:b/>
                <w:bCs/>
                <w:sz w:val="20"/>
                <w:szCs w:val="20"/>
                <w:lang w:eastAsia="en-GB"/>
              </w:rPr>
            </w:pPr>
          </w:p>
        </w:tc>
        <w:tc>
          <w:tcPr>
            <w:tcW w:w="977" w:type="dxa"/>
            <w:tcBorders>
              <w:top w:val="single" w:sz="4" w:space="0" w:color="auto"/>
              <w:left w:val="nil"/>
              <w:bottom w:val="single" w:sz="4" w:space="0" w:color="auto"/>
              <w:right w:val="nil"/>
            </w:tcBorders>
            <w:vAlign w:val="bottom"/>
            <w:hideMark/>
          </w:tcPr>
          <w:p w14:paraId="235F2592"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14310C09"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38A77F60"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0CCE5201"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1.1</w:t>
            </w:r>
          </w:p>
        </w:tc>
        <w:tc>
          <w:tcPr>
            <w:tcW w:w="977" w:type="dxa"/>
            <w:tcBorders>
              <w:top w:val="single" w:sz="4" w:space="0" w:color="auto"/>
              <w:left w:val="nil"/>
              <w:bottom w:val="single" w:sz="4" w:space="0" w:color="auto"/>
              <w:right w:val="nil"/>
            </w:tcBorders>
            <w:shd w:val="clear" w:color="auto" w:fill="FFFFFF" w:themeFill="background1"/>
            <w:noWrap/>
            <w:vAlign w:val="bottom"/>
            <w:hideMark/>
          </w:tcPr>
          <w:p w14:paraId="622CB8D1"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8" w:type="dxa"/>
            <w:tcBorders>
              <w:top w:val="single" w:sz="4" w:space="0" w:color="auto"/>
              <w:left w:val="nil"/>
              <w:bottom w:val="single" w:sz="4" w:space="0" w:color="auto"/>
              <w:right w:val="nil"/>
            </w:tcBorders>
            <w:shd w:val="clear" w:color="auto" w:fill="FFFFFF" w:themeFill="background1"/>
            <w:vAlign w:val="bottom"/>
            <w:hideMark/>
          </w:tcPr>
          <w:p w14:paraId="68BB1C90"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1.1</w:t>
            </w:r>
          </w:p>
        </w:tc>
      </w:tr>
      <w:tr w:rsidR="008C676E" w14:paraId="5DB4B700" w14:textId="77777777" w:rsidTr="008C676E">
        <w:trPr>
          <w:trHeight w:val="283"/>
        </w:trPr>
        <w:tc>
          <w:tcPr>
            <w:tcW w:w="3119" w:type="dxa"/>
            <w:tcBorders>
              <w:top w:val="single" w:sz="4" w:space="0" w:color="auto"/>
              <w:left w:val="nil"/>
              <w:bottom w:val="nil"/>
              <w:right w:val="nil"/>
            </w:tcBorders>
            <w:noWrap/>
            <w:vAlign w:val="center"/>
          </w:tcPr>
          <w:p w14:paraId="5AB91F93" w14:textId="77777777" w:rsidR="008C676E" w:rsidRDefault="008C676E">
            <w:pPr>
              <w:spacing w:after="0" w:line="240" w:lineRule="auto"/>
              <w:rPr>
                <w:rFonts w:ascii="Arial" w:eastAsia="Times New Roman" w:hAnsi="Arial" w:cs="Arial"/>
                <w:b/>
                <w:sz w:val="18"/>
                <w:szCs w:val="18"/>
                <w:lang w:eastAsia="en-GB"/>
              </w:rPr>
            </w:pPr>
          </w:p>
        </w:tc>
        <w:tc>
          <w:tcPr>
            <w:tcW w:w="737" w:type="dxa"/>
            <w:tcBorders>
              <w:top w:val="single" w:sz="4" w:space="0" w:color="auto"/>
              <w:left w:val="nil"/>
              <w:bottom w:val="nil"/>
              <w:right w:val="nil"/>
            </w:tcBorders>
            <w:vAlign w:val="bottom"/>
          </w:tcPr>
          <w:p w14:paraId="0AFD218C" w14:textId="77777777" w:rsidR="008C676E" w:rsidRDefault="008C676E">
            <w:pPr>
              <w:spacing w:after="0" w:line="240" w:lineRule="auto"/>
              <w:jc w:val="center"/>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tcPr>
          <w:p w14:paraId="2BFCB4DA"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tcPr>
          <w:p w14:paraId="18B2E37E"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tcPr>
          <w:p w14:paraId="21CE1983"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tcPr>
          <w:p w14:paraId="7AB58E07"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tcBorders>
              <w:top w:val="single" w:sz="4" w:space="0" w:color="auto"/>
              <w:left w:val="nil"/>
              <w:bottom w:val="nil"/>
              <w:right w:val="nil"/>
            </w:tcBorders>
            <w:shd w:val="clear" w:color="auto" w:fill="FFFFFF" w:themeFill="background1"/>
            <w:noWrap/>
            <w:vAlign w:val="bottom"/>
          </w:tcPr>
          <w:p w14:paraId="2216A1C6" w14:textId="77777777" w:rsidR="008C676E" w:rsidRDefault="008C676E">
            <w:pPr>
              <w:spacing w:after="0" w:line="240" w:lineRule="auto"/>
              <w:jc w:val="right"/>
              <w:rPr>
                <w:rFonts w:ascii="Arial" w:eastAsia="Times New Roman" w:hAnsi="Arial" w:cs="Arial"/>
                <w:b/>
                <w:bCs/>
                <w:sz w:val="20"/>
                <w:szCs w:val="20"/>
                <w:lang w:eastAsia="en-GB"/>
              </w:rPr>
            </w:pPr>
          </w:p>
        </w:tc>
        <w:tc>
          <w:tcPr>
            <w:tcW w:w="978" w:type="dxa"/>
            <w:tcBorders>
              <w:top w:val="single" w:sz="4" w:space="0" w:color="auto"/>
              <w:left w:val="nil"/>
              <w:bottom w:val="nil"/>
              <w:right w:val="nil"/>
            </w:tcBorders>
            <w:shd w:val="clear" w:color="auto" w:fill="FFFFFF" w:themeFill="background1"/>
            <w:vAlign w:val="bottom"/>
          </w:tcPr>
          <w:p w14:paraId="5948ECE3" w14:textId="77777777" w:rsidR="008C676E" w:rsidRDefault="008C676E">
            <w:pPr>
              <w:spacing w:after="0" w:line="240" w:lineRule="auto"/>
              <w:jc w:val="right"/>
              <w:rPr>
                <w:rFonts w:ascii="Arial" w:eastAsia="Times New Roman" w:hAnsi="Arial" w:cs="Arial"/>
                <w:b/>
                <w:bCs/>
                <w:sz w:val="20"/>
                <w:szCs w:val="20"/>
                <w:lang w:eastAsia="en-GB"/>
              </w:rPr>
            </w:pPr>
          </w:p>
        </w:tc>
      </w:tr>
      <w:tr w:rsidR="008C676E" w14:paraId="0DE9370D" w14:textId="77777777" w:rsidTr="008C676E">
        <w:trPr>
          <w:trHeight w:val="283"/>
        </w:trPr>
        <w:tc>
          <w:tcPr>
            <w:tcW w:w="3119" w:type="dxa"/>
            <w:tcBorders>
              <w:top w:val="single" w:sz="4" w:space="0" w:color="auto"/>
              <w:left w:val="nil"/>
              <w:bottom w:val="nil"/>
              <w:right w:val="nil"/>
            </w:tcBorders>
            <w:noWrap/>
            <w:vAlign w:val="center"/>
            <w:hideMark/>
          </w:tcPr>
          <w:p w14:paraId="78DD6279"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sz w:val="18"/>
                <w:szCs w:val="18"/>
                <w:lang w:eastAsia="en-GB"/>
              </w:rPr>
              <w:t xml:space="preserve">Balance </w:t>
            </w:r>
            <w:proofErr w:type="gramStart"/>
            <w:r>
              <w:rPr>
                <w:rFonts w:ascii="Arial" w:eastAsia="Times New Roman" w:hAnsi="Arial" w:cs="Arial"/>
                <w:b/>
                <w:sz w:val="18"/>
                <w:szCs w:val="18"/>
                <w:lang w:eastAsia="en-GB"/>
              </w:rPr>
              <w:t>at</w:t>
            </w:r>
            <w:proofErr w:type="gramEnd"/>
            <w:r>
              <w:rPr>
                <w:rFonts w:ascii="Arial" w:eastAsia="Times New Roman" w:hAnsi="Arial" w:cs="Arial"/>
                <w:b/>
                <w:sz w:val="18"/>
                <w:szCs w:val="18"/>
                <w:lang w:eastAsia="en-GB"/>
              </w:rPr>
              <w:t xml:space="preserve"> 31 March 2023</w:t>
            </w:r>
          </w:p>
        </w:tc>
        <w:tc>
          <w:tcPr>
            <w:tcW w:w="737" w:type="dxa"/>
            <w:tcBorders>
              <w:top w:val="single" w:sz="4" w:space="0" w:color="auto"/>
              <w:left w:val="nil"/>
              <w:bottom w:val="nil"/>
              <w:right w:val="nil"/>
            </w:tcBorders>
            <w:vAlign w:val="bottom"/>
          </w:tcPr>
          <w:p w14:paraId="6017B63D" w14:textId="77777777" w:rsidR="008C676E" w:rsidRDefault="008C676E">
            <w:pPr>
              <w:spacing w:after="0" w:line="240" w:lineRule="auto"/>
              <w:jc w:val="center"/>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hideMark/>
          </w:tcPr>
          <w:p w14:paraId="08B72CC9"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47.9</w:t>
            </w:r>
          </w:p>
        </w:tc>
        <w:tc>
          <w:tcPr>
            <w:tcW w:w="977" w:type="dxa"/>
            <w:tcBorders>
              <w:top w:val="single" w:sz="4" w:space="0" w:color="auto"/>
              <w:left w:val="nil"/>
              <w:bottom w:val="nil"/>
              <w:right w:val="nil"/>
            </w:tcBorders>
            <w:vAlign w:val="bottom"/>
            <w:hideMark/>
          </w:tcPr>
          <w:p w14:paraId="763DE0B3"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384.8</w:t>
            </w:r>
          </w:p>
        </w:tc>
        <w:tc>
          <w:tcPr>
            <w:tcW w:w="977" w:type="dxa"/>
            <w:tcBorders>
              <w:top w:val="single" w:sz="4" w:space="0" w:color="auto"/>
              <w:left w:val="nil"/>
              <w:bottom w:val="nil"/>
              <w:right w:val="nil"/>
            </w:tcBorders>
            <w:vAlign w:val="bottom"/>
            <w:hideMark/>
          </w:tcPr>
          <w:p w14:paraId="3EE23062"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9.9</w:t>
            </w:r>
          </w:p>
        </w:tc>
        <w:tc>
          <w:tcPr>
            <w:tcW w:w="977" w:type="dxa"/>
            <w:tcBorders>
              <w:top w:val="single" w:sz="4" w:space="0" w:color="auto"/>
              <w:left w:val="nil"/>
              <w:bottom w:val="nil"/>
              <w:right w:val="nil"/>
            </w:tcBorders>
            <w:vAlign w:val="bottom"/>
            <w:hideMark/>
          </w:tcPr>
          <w:p w14:paraId="0666F519"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4.6</w:t>
            </w:r>
          </w:p>
        </w:tc>
        <w:tc>
          <w:tcPr>
            <w:tcW w:w="977" w:type="dxa"/>
            <w:tcBorders>
              <w:top w:val="single" w:sz="4" w:space="0" w:color="auto"/>
              <w:left w:val="nil"/>
              <w:bottom w:val="nil"/>
              <w:right w:val="nil"/>
            </w:tcBorders>
            <w:shd w:val="clear" w:color="auto" w:fill="FFFFFF" w:themeFill="background1"/>
            <w:noWrap/>
            <w:vAlign w:val="bottom"/>
            <w:hideMark/>
          </w:tcPr>
          <w:p w14:paraId="36D57D39"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(3.9)</w:t>
            </w:r>
          </w:p>
        </w:tc>
        <w:tc>
          <w:tcPr>
            <w:tcW w:w="978" w:type="dxa"/>
            <w:tcBorders>
              <w:top w:val="single" w:sz="4" w:space="0" w:color="auto"/>
              <w:left w:val="nil"/>
              <w:bottom w:val="nil"/>
              <w:right w:val="nil"/>
            </w:tcBorders>
            <w:shd w:val="clear" w:color="auto" w:fill="FFFFFF" w:themeFill="background1"/>
            <w:vAlign w:val="bottom"/>
            <w:hideMark/>
          </w:tcPr>
          <w:p w14:paraId="3731D5F0"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443.3</w:t>
            </w:r>
          </w:p>
        </w:tc>
      </w:tr>
      <w:tr w:rsidR="008C676E" w14:paraId="0F0FBE27" w14:textId="77777777" w:rsidTr="008C676E">
        <w:trPr>
          <w:trHeight w:val="283"/>
        </w:trPr>
        <w:tc>
          <w:tcPr>
            <w:tcW w:w="3119" w:type="dxa"/>
            <w:noWrap/>
            <w:vAlign w:val="center"/>
          </w:tcPr>
          <w:p w14:paraId="46F19F8D" w14:textId="77777777" w:rsidR="008C676E" w:rsidRDefault="008C676E">
            <w:pPr>
              <w:spacing w:after="0" w:line="240" w:lineRule="auto"/>
              <w:rPr>
                <w:rFonts w:ascii="Arial" w:eastAsia="Times New Roman" w:hAnsi="Arial" w:cs="Arial"/>
                <w:b/>
                <w:sz w:val="18"/>
                <w:szCs w:val="18"/>
                <w:lang w:eastAsia="en-GB"/>
              </w:rPr>
            </w:pPr>
          </w:p>
        </w:tc>
        <w:tc>
          <w:tcPr>
            <w:tcW w:w="737" w:type="dxa"/>
            <w:vAlign w:val="bottom"/>
          </w:tcPr>
          <w:p w14:paraId="3E82B60B" w14:textId="77777777" w:rsidR="008C676E" w:rsidRDefault="008C676E">
            <w:pPr>
              <w:spacing w:after="0" w:line="240" w:lineRule="auto"/>
              <w:jc w:val="center"/>
              <w:rPr>
                <w:rFonts w:ascii="Arial" w:eastAsia="Times New Roman" w:hAnsi="Arial" w:cs="Arial"/>
                <w:b/>
                <w:bCs/>
                <w:sz w:val="20"/>
                <w:szCs w:val="20"/>
                <w:lang w:eastAsia="en-GB"/>
              </w:rPr>
            </w:pPr>
          </w:p>
        </w:tc>
        <w:tc>
          <w:tcPr>
            <w:tcW w:w="977" w:type="dxa"/>
            <w:vAlign w:val="bottom"/>
          </w:tcPr>
          <w:p w14:paraId="378EAB53"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vAlign w:val="bottom"/>
          </w:tcPr>
          <w:p w14:paraId="774F5522"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vAlign w:val="bottom"/>
          </w:tcPr>
          <w:p w14:paraId="3981EC38"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vAlign w:val="bottom"/>
          </w:tcPr>
          <w:p w14:paraId="484FE55A"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shd w:val="clear" w:color="auto" w:fill="FFFFFF" w:themeFill="background1"/>
            <w:noWrap/>
            <w:vAlign w:val="bottom"/>
          </w:tcPr>
          <w:p w14:paraId="3C1E92B3" w14:textId="77777777" w:rsidR="008C676E" w:rsidRDefault="008C676E">
            <w:pPr>
              <w:spacing w:after="0" w:line="240" w:lineRule="auto"/>
              <w:jc w:val="right"/>
              <w:rPr>
                <w:rFonts w:ascii="Arial" w:eastAsia="Times New Roman" w:hAnsi="Arial" w:cs="Arial"/>
                <w:b/>
                <w:bCs/>
                <w:sz w:val="20"/>
                <w:szCs w:val="20"/>
                <w:lang w:eastAsia="en-GB"/>
              </w:rPr>
            </w:pPr>
          </w:p>
        </w:tc>
        <w:tc>
          <w:tcPr>
            <w:tcW w:w="978" w:type="dxa"/>
            <w:shd w:val="clear" w:color="auto" w:fill="FFFFFF" w:themeFill="background1"/>
            <w:vAlign w:val="bottom"/>
          </w:tcPr>
          <w:p w14:paraId="7BEEB12B" w14:textId="77777777" w:rsidR="008C676E" w:rsidRDefault="008C676E">
            <w:pPr>
              <w:spacing w:after="0" w:line="240" w:lineRule="auto"/>
              <w:jc w:val="right"/>
              <w:rPr>
                <w:rFonts w:ascii="Arial" w:eastAsia="Times New Roman" w:hAnsi="Arial" w:cs="Arial"/>
                <w:b/>
                <w:bCs/>
                <w:sz w:val="20"/>
                <w:szCs w:val="20"/>
                <w:lang w:eastAsia="en-GB"/>
              </w:rPr>
            </w:pPr>
          </w:p>
        </w:tc>
      </w:tr>
      <w:tr w:rsidR="008C676E" w14:paraId="1C6F44F8" w14:textId="77777777" w:rsidTr="008C676E">
        <w:trPr>
          <w:trHeight w:val="283"/>
        </w:trPr>
        <w:tc>
          <w:tcPr>
            <w:tcW w:w="3119" w:type="dxa"/>
            <w:tcBorders>
              <w:top w:val="nil"/>
              <w:left w:val="nil"/>
              <w:bottom w:val="single" w:sz="4" w:space="0" w:color="auto"/>
              <w:right w:val="nil"/>
            </w:tcBorders>
            <w:noWrap/>
            <w:vAlign w:val="center"/>
            <w:hideMark/>
          </w:tcPr>
          <w:p w14:paraId="69FE97A3"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sz w:val="18"/>
                <w:szCs w:val="18"/>
                <w:lang w:eastAsia="en-GB"/>
              </w:rPr>
              <w:t>Loss for the year</w:t>
            </w:r>
          </w:p>
        </w:tc>
        <w:tc>
          <w:tcPr>
            <w:tcW w:w="737" w:type="dxa"/>
            <w:tcBorders>
              <w:top w:val="nil"/>
              <w:left w:val="nil"/>
              <w:bottom w:val="single" w:sz="4" w:space="0" w:color="auto"/>
              <w:right w:val="nil"/>
            </w:tcBorders>
            <w:vAlign w:val="bottom"/>
          </w:tcPr>
          <w:p w14:paraId="670C2E44" w14:textId="77777777" w:rsidR="008C676E" w:rsidRDefault="008C676E">
            <w:pPr>
              <w:spacing w:after="0" w:line="240" w:lineRule="auto"/>
              <w:jc w:val="center"/>
              <w:rPr>
                <w:rFonts w:ascii="Arial" w:eastAsia="Times New Roman" w:hAnsi="Arial" w:cs="Arial"/>
                <w:b/>
                <w:bCs/>
                <w:sz w:val="20"/>
                <w:szCs w:val="20"/>
                <w:lang w:eastAsia="en-GB"/>
              </w:rPr>
            </w:pPr>
          </w:p>
        </w:tc>
        <w:tc>
          <w:tcPr>
            <w:tcW w:w="977" w:type="dxa"/>
            <w:tcBorders>
              <w:top w:val="nil"/>
              <w:left w:val="nil"/>
              <w:bottom w:val="single" w:sz="4" w:space="0" w:color="auto"/>
              <w:right w:val="nil"/>
            </w:tcBorders>
            <w:vAlign w:val="bottom"/>
            <w:hideMark/>
          </w:tcPr>
          <w:p w14:paraId="5957CFAD"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nil"/>
              <w:left w:val="nil"/>
              <w:bottom w:val="single" w:sz="4" w:space="0" w:color="auto"/>
              <w:right w:val="nil"/>
            </w:tcBorders>
            <w:vAlign w:val="bottom"/>
            <w:hideMark/>
          </w:tcPr>
          <w:p w14:paraId="18C70C0C"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nil"/>
              <w:left w:val="nil"/>
              <w:bottom w:val="single" w:sz="4" w:space="0" w:color="auto"/>
              <w:right w:val="nil"/>
            </w:tcBorders>
            <w:vAlign w:val="bottom"/>
            <w:hideMark/>
          </w:tcPr>
          <w:p w14:paraId="2725E6ED"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nil"/>
              <w:left w:val="nil"/>
              <w:bottom w:val="single" w:sz="4" w:space="0" w:color="auto"/>
              <w:right w:val="nil"/>
            </w:tcBorders>
            <w:vAlign w:val="bottom"/>
            <w:hideMark/>
          </w:tcPr>
          <w:p w14:paraId="7418DF45"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tcBorders>
              <w:top w:val="nil"/>
              <w:left w:val="nil"/>
              <w:bottom w:val="single" w:sz="4" w:space="0" w:color="auto"/>
              <w:right w:val="nil"/>
            </w:tcBorders>
            <w:shd w:val="clear" w:color="auto" w:fill="FFFFFF" w:themeFill="background1"/>
            <w:noWrap/>
            <w:vAlign w:val="bottom"/>
            <w:hideMark/>
          </w:tcPr>
          <w:p w14:paraId="793A5DB6"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(10.2)</w:t>
            </w:r>
          </w:p>
        </w:tc>
        <w:tc>
          <w:tcPr>
            <w:tcW w:w="978" w:type="dxa"/>
            <w:tcBorders>
              <w:top w:val="nil"/>
              <w:left w:val="nil"/>
              <w:bottom w:val="single" w:sz="4" w:space="0" w:color="auto"/>
              <w:right w:val="nil"/>
            </w:tcBorders>
            <w:shd w:val="clear" w:color="auto" w:fill="FFFFFF" w:themeFill="background1"/>
            <w:vAlign w:val="bottom"/>
            <w:hideMark/>
          </w:tcPr>
          <w:p w14:paraId="4F2A14DD"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(10.2)</w:t>
            </w:r>
          </w:p>
        </w:tc>
      </w:tr>
      <w:tr w:rsidR="008C676E" w14:paraId="6BE6B08D" w14:textId="77777777" w:rsidTr="008C676E">
        <w:trPr>
          <w:trHeight w:val="283"/>
        </w:trPr>
        <w:tc>
          <w:tcPr>
            <w:tcW w:w="3119" w:type="dxa"/>
            <w:tcBorders>
              <w:top w:val="single" w:sz="4" w:space="0" w:color="auto"/>
              <w:left w:val="nil"/>
              <w:bottom w:val="single" w:sz="4" w:space="0" w:color="auto"/>
              <w:right w:val="nil"/>
            </w:tcBorders>
            <w:noWrap/>
            <w:vAlign w:val="center"/>
            <w:hideMark/>
          </w:tcPr>
          <w:p w14:paraId="73B59A09"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Total comprehensive loss for the year</w:t>
            </w:r>
          </w:p>
        </w:tc>
        <w:tc>
          <w:tcPr>
            <w:tcW w:w="737" w:type="dxa"/>
            <w:tcBorders>
              <w:top w:val="single" w:sz="4" w:space="0" w:color="auto"/>
              <w:left w:val="nil"/>
              <w:bottom w:val="single" w:sz="4" w:space="0" w:color="auto"/>
              <w:right w:val="nil"/>
            </w:tcBorders>
            <w:vAlign w:val="bottom"/>
          </w:tcPr>
          <w:p w14:paraId="18E3311A" w14:textId="77777777" w:rsidR="008C676E" w:rsidRDefault="008C676E">
            <w:pPr>
              <w:spacing w:after="0" w:line="240" w:lineRule="auto"/>
              <w:jc w:val="center"/>
              <w:rPr>
                <w:rFonts w:ascii="Arial" w:eastAsia="Times New Roman" w:hAnsi="Arial" w:cs="Arial"/>
                <w:b/>
                <w:bCs/>
                <w:sz w:val="20"/>
                <w:szCs w:val="20"/>
                <w:lang w:eastAsia="en-GB"/>
              </w:rPr>
            </w:pPr>
          </w:p>
        </w:tc>
        <w:tc>
          <w:tcPr>
            <w:tcW w:w="977" w:type="dxa"/>
            <w:tcBorders>
              <w:top w:val="single" w:sz="4" w:space="0" w:color="auto"/>
              <w:left w:val="nil"/>
              <w:bottom w:val="single" w:sz="4" w:space="0" w:color="auto"/>
              <w:right w:val="nil"/>
            </w:tcBorders>
            <w:vAlign w:val="bottom"/>
            <w:hideMark/>
          </w:tcPr>
          <w:p w14:paraId="5EDF603A"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3A7B6A3C"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2BA75F7B"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vAlign w:val="bottom"/>
            <w:hideMark/>
          </w:tcPr>
          <w:p w14:paraId="4F06C9CC"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p>
        </w:tc>
        <w:tc>
          <w:tcPr>
            <w:tcW w:w="977" w:type="dxa"/>
            <w:tcBorders>
              <w:top w:val="single" w:sz="4" w:space="0" w:color="auto"/>
              <w:left w:val="nil"/>
              <w:bottom w:val="single" w:sz="4" w:space="0" w:color="auto"/>
              <w:right w:val="nil"/>
            </w:tcBorders>
            <w:shd w:val="clear" w:color="auto" w:fill="FFFFFF" w:themeFill="background1"/>
            <w:noWrap/>
            <w:vAlign w:val="bottom"/>
            <w:hideMark/>
          </w:tcPr>
          <w:p w14:paraId="52788853"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(10.2)</w:t>
            </w:r>
          </w:p>
        </w:tc>
        <w:tc>
          <w:tcPr>
            <w:tcW w:w="978" w:type="dxa"/>
            <w:tcBorders>
              <w:top w:val="single" w:sz="4" w:space="0" w:color="auto"/>
              <w:left w:val="nil"/>
              <w:bottom w:val="single" w:sz="4" w:space="0" w:color="auto"/>
              <w:right w:val="nil"/>
            </w:tcBorders>
            <w:shd w:val="clear" w:color="auto" w:fill="FFFFFF" w:themeFill="background1"/>
            <w:vAlign w:val="bottom"/>
            <w:hideMark/>
          </w:tcPr>
          <w:p w14:paraId="7512C399"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(10.2)</w:t>
            </w:r>
          </w:p>
        </w:tc>
      </w:tr>
      <w:tr w:rsidR="008C676E" w14:paraId="40A1AD2E" w14:textId="77777777" w:rsidTr="008C676E">
        <w:trPr>
          <w:trHeight w:val="283"/>
        </w:trPr>
        <w:tc>
          <w:tcPr>
            <w:tcW w:w="3119" w:type="dxa"/>
            <w:tcBorders>
              <w:top w:val="single" w:sz="4" w:space="0" w:color="auto"/>
              <w:left w:val="nil"/>
              <w:bottom w:val="nil"/>
              <w:right w:val="nil"/>
            </w:tcBorders>
            <w:noWrap/>
            <w:vAlign w:val="center"/>
          </w:tcPr>
          <w:p w14:paraId="0C1007B0" w14:textId="77777777" w:rsidR="008C676E" w:rsidRDefault="008C676E">
            <w:pPr>
              <w:spacing w:after="0" w:line="240" w:lineRule="auto"/>
              <w:rPr>
                <w:rFonts w:ascii="Arial" w:eastAsia="Times New Roman" w:hAnsi="Arial" w:cs="Arial"/>
                <w:b/>
                <w:bCs/>
                <w:sz w:val="18"/>
                <w:szCs w:val="18"/>
                <w:lang w:eastAsia="en-GB"/>
              </w:rPr>
            </w:pPr>
          </w:p>
        </w:tc>
        <w:tc>
          <w:tcPr>
            <w:tcW w:w="737" w:type="dxa"/>
            <w:tcBorders>
              <w:top w:val="single" w:sz="4" w:space="0" w:color="auto"/>
              <w:left w:val="nil"/>
              <w:bottom w:val="nil"/>
              <w:right w:val="nil"/>
            </w:tcBorders>
            <w:vAlign w:val="bottom"/>
          </w:tcPr>
          <w:p w14:paraId="5E03A528" w14:textId="77777777" w:rsidR="008C676E" w:rsidRDefault="008C676E">
            <w:pPr>
              <w:spacing w:after="0" w:line="240" w:lineRule="auto"/>
              <w:jc w:val="center"/>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tcPr>
          <w:p w14:paraId="4CE3CE8A"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tcPr>
          <w:p w14:paraId="5A776A42"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tcPr>
          <w:p w14:paraId="323455EC"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tcBorders>
              <w:top w:val="single" w:sz="4" w:space="0" w:color="auto"/>
              <w:left w:val="nil"/>
              <w:bottom w:val="nil"/>
              <w:right w:val="nil"/>
            </w:tcBorders>
            <w:vAlign w:val="bottom"/>
          </w:tcPr>
          <w:p w14:paraId="1CD10073" w14:textId="77777777" w:rsidR="008C676E" w:rsidRDefault="008C676E">
            <w:pPr>
              <w:spacing w:after="0" w:line="240" w:lineRule="auto"/>
              <w:jc w:val="right"/>
              <w:rPr>
                <w:rFonts w:ascii="Arial" w:eastAsia="Times New Roman" w:hAnsi="Arial" w:cs="Arial"/>
                <w:b/>
                <w:bCs/>
                <w:sz w:val="20"/>
                <w:szCs w:val="20"/>
                <w:lang w:eastAsia="en-GB"/>
              </w:rPr>
            </w:pPr>
          </w:p>
        </w:tc>
        <w:tc>
          <w:tcPr>
            <w:tcW w:w="977" w:type="dxa"/>
            <w:tcBorders>
              <w:top w:val="single" w:sz="4" w:space="0" w:color="auto"/>
              <w:left w:val="nil"/>
              <w:bottom w:val="nil"/>
              <w:right w:val="nil"/>
            </w:tcBorders>
            <w:shd w:val="clear" w:color="auto" w:fill="FFFFFF" w:themeFill="background1"/>
            <w:noWrap/>
            <w:vAlign w:val="bottom"/>
          </w:tcPr>
          <w:p w14:paraId="190AFAB8" w14:textId="77777777" w:rsidR="008C676E" w:rsidRDefault="008C676E">
            <w:pPr>
              <w:spacing w:after="0" w:line="240" w:lineRule="auto"/>
              <w:jc w:val="right"/>
              <w:rPr>
                <w:rFonts w:ascii="Arial" w:eastAsia="Times New Roman" w:hAnsi="Arial" w:cs="Arial"/>
                <w:b/>
                <w:bCs/>
                <w:sz w:val="20"/>
                <w:szCs w:val="20"/>
                <w:lang w:eastAsia="en-GB"/>
              </w:rPr>
            </w:pPr>
          </w:p>
        </w:tc>
        <w:tc>
          <w:tcPr>
            <w:tcW w:w="978" w:type="dxa"/>
            <w:tcBorders>
              <w:top w:val="single" w:sz="4" w:space="0" w:color="auto"/>
              <w:left w:val="nil"/>
              <w:bottom w:val="nil"/>
              <w:right w:val="nil"/>
            </w:tcBorders>
            <w:shd w:val="clear" w:color="auto" w:fill="FFFFFF" w:themeFill="background1"/>
            <w:vAlign w:val="bottom"/>
          </w:tcPr>
          <w:p w14:paraId="55412E7F" w14:textId="77777777" w:rsidR="008C676E" w:rsidRDefault="008C676E">
            <w:pPr>
              <w:spacing w:after="0" w:line="240" w:lineRule="auto"/>
              <w:jc w:val="right"/>
              <w:rPr>
                <w:rFonts w:ascii="Arial" w:eastAsia="Times New Roman" w:hAnsi="Arial" w:cs="Arial"/>
                <w:b/>
                <w:bCs/>
                <w:sz w:val="20"/>
                <w:szCs w:val="20"/>
                <w:lang w:eastAsia="en-GB"/>
              </w:rPr>
            </w:pPr>
          </w:p>
        </w:tc>
      </w:tr>
      <w:tr w:rsidR="008C676E" w14:paraId="0DBCB307" w14:textId="77777777" w:rsidTr="008C676E">
        <w:trPr>
          <w:trHeight w:val="283"/>
        </w:trPr>
        <w:tc>
          <w:tcPr>
            <w:tcW w:w="3119" w:type="dxa"/>
            <w:noWrap/>
            <w:vAlign w:val="center"/>
            <w:hideMark/>
          </w:tcPr>
          <w:p w14:paraId="157D9EE5"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Transaction with owners</w:t>
            </w:r>
          </w:p>
        </w:tc>
        <w:tc>
          <w:tcPr>
            <w:tcW w:w="737" w:type="dxa"/>
            <w:vAlign w:val="bottom"/>
          </w:tcPr>
          <w:p w14:paraId="0F458139" w14:textId="77777777" w:rsidR="008C676E" w:rsidRDefault="008C676E">
            <w:pPr>
              <w:spacing w:after="0" w:line="240" w:lineRule="auto"/>
              <w:jc w:val="center"/>
              <w:rPr>
                <w:rFonts w:ascii="Arial" w:eastAsia="Times New Roman" w:hAnsi="Arial" w:cs="Arial"/>
                <w:sz w:val="20"/>
                <w:szCs w:val="20"/>
                <w:lang w:eastAsia="en-GB"/>
              </w:rPr>
            </w:pPr>
          </w:p>
        </w:tc>
        <w:tc>
          <w:tcPr>
            <w:tcW w:w="977" w:type="dxa"/>
            <w:vAlign w:val="bottom"/>
          </w:tcPr>
          <w:p w14:paraId="787B2CDD"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28750D3A"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2D893620" w14:textId="77777777" w:rsidR="008C676E" w:rsidRDefault="008C676E">
            <w:pPr>
              <w:spacing w:after="0" w:line="240" w:lineRule="auto"/>
              <w:jc w:val="right"/>
              <w:rPr>
                <w:rFonts w:ascii="Arial" w:eastAsia="Times New Roman" w:hAnsi="Arial" w:cs="Arial"/>
                <w:sz w:val="20"/>
                <w:szCs w:val="20"/>
                <w:lang w:eastAsia="en-GB"/>
              </w:rPr>
            </w:pPr>
          </w:p>
        </w:tc>
        <w:tc>
          <w:tcPr>
            <w:tcW w:w="977" w:type="dxa"/>
            <w:vAlign w:val="bottom"/>
          </w:tcPr>
          <w:p w14:paraId="03EE2B1E" w14:textId="77777777" w:rsidR="008C676E" w:rsidRDefault="008C676E">
            <w:pPr>
              <w:spacing w:after="0" w:line="240" w:lineRule="auto"/>
              <w:jc w:val="right"/>
              <w:rPr>
                <w:rFonts w:ascii="Arial" w:eastAsia="Times New Roman" w:hAnsi="Arial" w:cs="Arial"/>
                <w:sz w:val="20"/>
                <w:szCs w:val="20"/>
                <w:lang w:eastAsia="en-GB"/>
              </w:rPr>
            </w:pPr>
          </w:p>
        </w:tc>
        <w:tc>
          <w:tcPr>
            <w:tcW w:w="977" w:type="dxa"/>
            <w:shd w:val="clear" w:color="auto" w:fill="FFFFFF" w:themeFill="background1"/>
            <w:noWrap/>
            <w:vAlign w:val="bottom"/>
          </w:tcPr>
          <w:p w14:paraId="62F8C7EE" w14:textId="77777777" w:rsidR="008C676E" w:rsidRDefault="008C676E">
            <w:pPr>
              <w:spacing w:after="0" w:line="240" w:lineRule="auto"/>
              <w:jc w:val="right"/>
              <w:rPr>
                <w:rFonts w:ascii="Arial" w:eastAsia="Times New Roman" w:hAnsi="Arial" w:cs="Arial"/>
                <w:b/>
                <w:bCs/>
                <w:sz w:val="20"/>
                <w:szCs w:val="20"/>
                <w:lang w:eastAsia="en-GB"/>
              </w:rPr>
            </w:pPr>
          </w:p>
        </w:tc>
        <w:tc>
          <w:tcPr>
            <w:tcW w:w="978" w:type="dxa"/>
            <w:shd w:val="clear" w:color="auto" w:fill="FFFFFF" w:themeFill="background1"/>
            <w:vAlign w:val="bottom"/>
          </w:tcPr>
          <w:p w14:paraId="7D1AF1D7" w14:textId="77777777" w:rsidR="008C676E" w:rsidRDefault="008C676E">
            <w:pPr>
              <w:spacing w:after="0" w:line="240" w:lineRule="auto"/>
              <w:jc w:val="right"/>
              <w:rPr>
                <w:rFonts w:ascii="Arial" w:eastAsia="Times New Roman" w:hAnsi="Arial" w:cs="Arial"/>
                <w:b/>
                <w:bCs/>
                <w:sz w:val="20"/>
                <w:szCs w:val="20"/>
                <w:lang w:eastAsia="en-GB"/>
              </w:rPr>
            </w:pPr>
          </w:p>
        </w:tc>
      </w:tr>
      <w:tr w:rsidR="008C676E" w14:paraId="6FF4960C" w14:textId="77777777" w:rsidTr="008C676E">
        <w:trPr>
          <w:trHeight w:val="283"/>
        </w:trPr>
        <w:tc>
          <w:tcPr>
            <w:tcW w:w="3119" w:type="dxa"/>
            <w:vAlign w:val="center"/>
            <w:hideMark/>
          </w:tcPr>
          <w:p w14:paraId="1B2CD901"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sz w:val="18"/>
                <w:szCs w:val="18"/>
                <w:lang w:eastAsia="en-GB"/>
              </w:rPr>
              <w:t>Share-based payments</w:t>
            </w:r>
          </w:p>
        </w:tc>
        <w:tc>
          <w:tcPr>
            <w:tcW w:w="737" w:type="dxa"/>
            <w:vAlign w:val="bottom"/>
          </w:tcPr>
          <w:p w14:paraId="228DBD74" w14:textId="77777777" w:rsidR="008C676E" w:rsidRDefault="008C676E">
            <w:pPr>
              <w:spacing w:after="0" w:line="240" w:lineRule="auto"/>
              <w:jc w:val="center"/>
              <w:rPr>
                <w:rFonts w:ascii="Arial" w:eastAsia="Times New Roman" w:hAnsi="Arial" w:cs="Arial"/>
                <w:sz w:val="20"/>
                <w:szCs w:val="20"/>
                <w:lang w:eastAsia="en-GB"/>
              </w:rPr>
            </w:pPr>
          </w:p>
        </w:tc>
        <w:tc>
          <w:tcPr>
            <w:tcW w:w="977" w:type="dxa"/>
            <w:vAlign w:val="bottom"/>
            <w:hideMark/>
          </w:tcPr>
          <w:p w14:paraId="32A9C68F"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3633375D"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65DFB556"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vAlign w:val="bottom"/>
            <w:hideMark/>
          </w:tcPr>
          <w:p w14:paraId="523C9A2E"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(0.1)</w:t>
            </w:r>
          </w:p>
        </w:tc>
        <w:tc>
          <w:tcPr>
            <w:tcW w:w="977" w:type="dxa"/>
            <w:noWrap/>
            <w:vAlign w:val="bottom"/>
            <w:hideMark/>
          </w:tcPr>
          <w:p w14:paraId="79F3ACCD"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8" w:type="dxa"/>
            <w:vAlign w:val="bottom"/>
            <w:hideMark/>
          </w:tcPr>
          <w:p w14:paraId="1439295D"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(0.1)</w:t>
            </w:r>
          </w:p>
        </w:tc>
      </w:tr>
      <w:tr w:rsidR="008C676E" w14:paraId="5714FE5F" w14:textId="77777777" w:rsidTr="008C676E">
        <w:trPr>
          <w:trHeight w:val="283"/>
        </w:trPr>
        <w:tc>
          <w:tcPr>
            <w:tcW w:w="3119" w:type="dxa"/>
            <w:vAlign w:val="center"/>
            <w:hideMark/>
          </w:tcPr>
          <w:p w14:paraId="152D2C38"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Issue of shares during the year</w:t>
            </w:r>
          </w:p>
        </w:tc>
        <w:tc>
          <w:tcPr>
            <w:tcW w:w="737" w:type="dxa"/>
            <w:vAlign w:val="bottom"/>
            <w:hideMark/>
          </w:tcPr>
          <w:p w14:paraId="01061C84" w14:textId="5F4A68A0" w:rsidR="008C676E" w:rsidRDefault="004B35C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977" w:type="dxa"/>
            <w:vAlign w:val="bottom"/>
            <w:hideMark/>
          </w:tcPr>
          <w:p w14:paraId="6280A1F5"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0.5</w:t>
            </w:r>
          </w:p>
        </w:tc>
        <w:tc>
          <w:tcPr>
            <w:tcW w:w="977" w:type="dxa"/>
            <w:vAlign w:val="bottom"/>
            <w:hideMark/>
          </w:tcPr>
          <w:p w14:paraId="7BD22212"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977" w:type="dxa"/>
            <w:vAlign w:val="bottom"/>
            <w:hideMark/>
          </w:tcPr>
          <w:p w14:paraId="477211B0"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977" w:type="dxa"/>
            <w:vAlign w:val="bottom"/>
            <w:hideMark/>
          </w:tcPr>
          <w:p w14:paraId="7E1D5E3B"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noWrap/>
            <w:vAlign w:val="bottom"/>
            <w:hideMark/>
          </w:tcPr>
          <w:p w14:paraId="47B500B5"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8" w:type="dxa"/>
            <w:vAlign w:val="bottom"/>
            <w:hideMark/>
          </w:tcPr>
          <w:p w14:paraId="05E90297"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4.5</w:t>
            </w:r>
          </w:p>
        </w:tc>
      </w:tr>
      <w:tr w:rsidR="008C676E" w14:paraId="286EAAEB" w14:textId="77777777" w:rsidTr="008C676E">
        <w:trPr>
          <w:trHeight w:val="283"/>
        </w:trPr>
        <w:tc>
          <w:tcPr>
            <w:tcW w:w="3119" w:type="dxa"/>
            <w:tcBorders>
              <w:top w:val="nil"/>
              <w:left w:val="nil"/>
              <w:bottom w:val="single" w:sz="4" w:space="0" w:color="auto"/>
              <w:right w:val="nil"/>
            </w:tcBorders>
            <w:vAlign w:val="center"/>
            <w:hideMark/>
          </w:tcPr>
          <w:p w14:paraId="5B6F6019"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Cancellation of share premium</w:t>
            </w:r>
          </w:p>
        </w:tc>
        <w:tc>
          <w:tcPr>
            <w:tcW w:w="737" w:type="dxa"/>
            <w:tcBorders>
              <w:top w:val="nil"/>
              <w:left w:val="nil"/>
              <w:bottom w:val="single" w:sz="4" w:space="0" w:color="auto"/>
              <w:right w:val="nil"/>
            </w:tcBorders>
            <w:vAlign w:val="bottom"/>
            <w:hideMark/>
          </w:tcPr>
          <w:p w14:paraId="5AC673E6" w14:textId="449CA063" w:rsidR="008C676E" w:rsidRDefault="004B35C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977" w:type="dxa"/>
            <w:tcBorders>
              <w:top w:val="nil"/>
              <w:left w:val="nil"/>
              <w:bottom w:val="single" w:sz="4" w:space="0" w:color="auto"/>
              <w:right w:val="nil"/>
            </w:tcBorders>
            <w:vAlign w:val="bottom"/>
            <w:hideMark/>
          </w:tcPr>
          <w:p w14:paraId="0A593013"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tcBorders>
              <w:top w:val="nil"/>
              <w:left w:val="nil"/>
              <w:bottom w:val="single" w:sz="4" w:space="0" w:color="auto"/>
              <w:right w:val="nil"/>
            </w:tcBorders>
            <w:vAlign w:val="bottom"/>
            <w:hideMark/>
          </w:tcPr>
          <w:p w14:paraId="1A960380"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(384.9)</w:t>
            </w:r>
          </w:p>
        </w:tc>
        <w:tc>
          <w:tcPr>
            <w:tcW w:w="977" w:type="dxa"/>
            <w:tcBorders>
              <w:top w:val="nil"/>
              <w:left w:val="nil"/>
              <w:bottom w:val="single" w:sz="4" w:space="0" w:color="auto"/>
              <w:right w:val="nil"/>
            </w:tcBorders>
            <w:vAlign w:val="bottom"/>
            <w:hideMark/>
          </w:tcPr>
          <w:p w14:paraId="0810FAA1"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tcBorders>
              <w:top w:val="nil"/>
              <w:left w:val="nil"/>
              <w:bottom w:val="single" w:sz="4" w:space="0" w:color="auto"/>
              <w:right w:val="nil"/>
            </w:tcBorders>
            <w:vAlign w:val="bottom"/>
            <w:hideMark/>
          </w:tcPr>
          <w:p w14:paraId="0E6B9DA6"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977" w:type="dxa"/>
            <w:tcBorders>
              <w:top w:val="nil"/>
              <w:left w:val="nil"/>
              <w:bottom w:val="single" w:sz="4" w:space="0" w:color="auto"/>
              <w:right w:val="nil"/>
            </w:tcBorders>
            <w:noWrap/>
            <w:vAlign w:val="bottom"/>
            <w:hideMark/>
          </w:tcPr>
          <w:p w14:paraId="518BB4C2"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384.9</w:t>
            </w:r>
          </w:p>
        </w:tc>
        <w:tc>
          <w:tcPr>
            <w:tcW w:w="978" w:type="dxa"/>
            <w:tcBorders>
              <w:top w:val="nil"/>
              <w:left w:val="nil"/>
              <w:bottom w:val="single" w:sz="4" w:space="0" w:color="auto"/>
              <w:right w:val="nil"/>
            </w:tcBorders>
            <w:vAlign w:val="bottom"/>
            <w:hideMark/>
          </w:tcPr>
          <w:p w14:paraId="77A24CF1" w14:textId="77777777" w:rsidR="008C676E" w:rsidRDefault="008C676E">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8C676E" w14:paraId="4BE43F73" w14:textId="77777777" w:rsidTr="008C676E">
        <w:trPr>
          <w:trHeight w:val="283"/>
        </w:trPr>
        <w:tc>
          <w:tcPr>
            <w:tcW w:w="3119" w:type="dxa"/>
            <w:tcBorders>
              <w:top w:val="single" w:sz="4" w:space="0" w:color="auto"/>
              <w:left w:val="nil"/>
              <w:bottom w:val="single" w:sz="4" w:space="0" w:color="auto"/>
              <w:right w:val="nil"/>
            </w:tcBorders>
            <w:vAlign w:val="center"/>
          </w:tcPr>
          <w:p w14:paraId="389FCC78" w14:textId="77777777" w:rsidR="008C676E" w:rsidRDefault="008C676E">
            <w:pPr>
              <w:spacing w:after="0" w:line="240" w:lineRule="auto"/>
              <w:rPr>
                <w:rFonts w:ascii="Arial" w:eastAsia="Times New Roman" w:hAnsi="Arial" w:cs="Arial"/>
                <w:sz w:val="18"/>
                <w:szCs w:val="18"/>
                <w:lang w:eastAsia="en-GB"/>
              </w:rPr>
            </w:pPr>
          </w:p>
        </w:tc>
        <w:tc>
          <w:tcPr>
            <w:tcW w:w="737" w:type="dxa"/>
            <w:tcBorders>
              <w:top w:val="single" w:sz="4" w:space="0" w:color="auto"/>
              <w:left w:val="nil"/>
              <w:bottom w:val="single" w:sz="4" w:space="0" w:color="auto"/>
              <w:right w:val="nil"/>
            </w:tcBorders>
            <w:vAlign w:val="bottom"/>
          </w:tcPr>
          <w:p w14:paraId="6573DBED" w14:textId="77777777" w:rsidR="008C676E" w:rsidRDefault="008C676E">
            <w:pPr>
              <w:spacing w:after="0" w:line="240" w:lineRule="auto"/>
              <w:jc w:val="center"/>
              <w:rPr>
                <w:rFonts w:ascii="Arial" w:eastAsia="Times New Roman" w:hAnsi="Arial" w:cs="Arial"/>
                <w:sz w:val="20"/>
                <w:szCs w:val="20"/>
                <w:lang w:eastAsia="en-GB"/>
              </w:rPr>
            </w:pPr>
          </w:p>
        </w:tc>
        <w:tc>
          <w:tcPr>
            <w:tcW w:w="977" w:type="dxa"/>
            <w:tcBorders>
              <w:top w:val="single" w:sz="4" w:space="0" w:color="auto"/>
              <w:left w:val="nil"/>
              <w:bottom w:val="single" w:sz="4" w:space="0" w:color="auto"/>
              <w:right w:val="nil"/>
            </w:tcBorders>
            <w:vAlign w:val="bottom"/>
            <w:hideMark/>
          </w:tcPr>
          <w:p w14:paraId="28C9061D"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0.5</w:t>
            </w:r>
          </w:p>
        </w:tc>
        <w:tc>
          <w:tcPr>
            <w:tcW w:w="977" w:type="dxa"/>
            <w:tcBorders>
              <w:top w:val="single" w:sz="4" w:space="0" w:color="auto"/>
              <w:left w:val="nil"/>
              <w:bottom w:val="single" w:sz="4" w:space="0" w:color="auto"/>
              <w:right w:val="nil"/>
            </w:tcBorders>
            <w:vAlign w:val="bottom"/>
            <w:hideMark/>
          </w:tcPr>
          <w:p w14:paraId="42FC5968"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(383.5)</w:t>
            </w:r>
          </w:p>
        </w:tc>
        <w:tc>
          <w:tcPr>
            <w:tcW w:w="977" w:type="dxa"/>
            <w:tcBorders>
              <w:top w:val="single" w:sz="4" w:space="0" w:color="auto"/>
              <w:left w:val="nil"/>
              <w:bottom w:val="single" w:sz="4" w:space="0" w:color="auto"/>
              <w:right w:val="nil"/>
            </w:tcBorders>
            <w:vAlign w:val="bottom"/>
            <w:hideMark/>
          </w:tcPr>
          <w:p w14:paraId="65FEC092"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2.6</w:t>
            </w:r>
          </w:p>
        </w:tc>
        <w:tc>
          <w:tcPr>
            <w:tcW w:w="977" w:type="dxa"/>
            <w:tcBorders>
              <w:top w:val="single" w:sz="4" w:space="0" w:color="auto"/>
              <w:left w:val="nil"/>
              <w:bottom w:val="single" w:sz="4" w:space="0" w:color="auto"/>
              <w:right w:val="nil"/>
            </w:tcBorders>
            <w:vAlign w:val="bottom"/>
            <w:hideMark/>
          </w:tcPr>
          <w:p w14:paraId="792EA06A"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(0.1)</w:t>
            </w:r>
          </w:p>
        </w:tc>
        <w:tc>
          <w:tcPr>
            <w:tcW w:w="977" w:type="dxa"/>
            <w:tcBorders>
              <w:top w:val="single" w:sz="4" w:space="0" w:color="auto"/>
              <w:left w:val="nil"/>
              <w:bottom w:val="single" w:sz="4" w:space="0" w:color="auto"/>
              <w:right w:val="nil"/>
            </w:tcBorders>
            <w:noWrap/>
            <w:vAlign w:val="bottom"/>
            <w:hideMark/>
          </w:tcPr>
          <w:p w14:paraId="0CCCFA9F"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384.9</w:t>
            </w:r>
          </w:p>
        </w:tc>
        <w:tc>
          <w:tcPr>
            <w:tcW w:w="978" w:type="dxa"/>
            <w:tcBorders>
              <w:top w:val="single" w:sz="4" w:space="0" w:color="auto"/>
              <w:left w:val="nil"/>
              <w:bottom w:val="single" w:sz="4" w:space="0" w:color="auto"/>
              <w:right w:val="nil"/>
            </w:tcBorders>
            <w:vAlign w:val="bottom"/>
            <w:hideMark/>
          </w:tcPr>
          <w:p w14:paraId="2EB75FD5" w14:textId="77777777" w:rsidR="008C676E" w:rsidRDefault="008C676E">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4.4</w:t>
            </w:r>
          </w:p>
        </w:tc>
      </w:tr>
      <w:tr w:rsidR="008C676E" w14:paraId="206D4445" w14:textId="77777777" w:rsidTr="008C676E">
        <w:trPr>
          <w:trHeight w:val="283"/>
        </w:trPr>
        <w:tc>
          <w:tcPr>
            <w:tcW w:w="3119" w:type="dxa"/>
            <w:tcBorders>
              <w:top w:val="single" w:sz="4" w:space="0" w:color="auto"/>
              <w:left w:val="nil"/>
              <w:bottom w:val="double" w:sz="4" w:space="0" w:color="auto"/>
              <w:right w:val="nil"/>
            </w:tcBorders>
            <w:noWrap/>
            <w:vAlign w:val="center"/>
          </w:tcPr>
          <w:p w14:paraId="0E630D26" w14:textId="77777777" w:rsidR="008C676E" w:rsidRDefault="008C676E">
            <w:pPr>
              <w:spacing w:after="0" w:line="240" w:lineRule="auto"/>
              <w:rPr>
                <w:rFonts w:ascii="Arial" w:eastAsia="Times New Roman" w:hAnsi="Arial" w:cs="Arial"/>
                <w:b/>
                <w:sz w:val="18"/>
                <w:szCs w:val="18"/>
                <w:lang w:eastAsia="en-GB"/>
              </w:rPr>
            </w:pPr>
          </w:p>
        </w:tc>
        <w:tc>
          <w:tcPr>
            <w:tcW w:w="737" w:type="dxa"/>
            <w:tcBorders>
              <w:top w:val="single" w:sz="4" w:space="0" w:color="auto"/>
              <w:left w:val="nil"/>
              <w:bottom w:val="double" w:sz="4" w:space="0" w:color="auto"/>
              <w:right w:val="nil"/>
            </w:tcBorders>
            <w:vAlign w:val="bottom"/>
          </w:tcPr>
          <w:p w14:paraId="08FC33A4" w14:textId="77777777" w:rsidR="008C676E" w:rsidRDefault="008C676E">
            <w:pPr>
              <w:spacing w:after="0" w:line="240" w:lineRule="auto"/>
              <w:jc w:val="center"/>
              <w:rPr>
                <w:rFonts w:ascii="Arial" w:eastAsia="Times New Roman" w:hAnsi="Arial" w:cs="Arial"/>
                <w:b/>
                <w:sz w:val="20"/>
                <w:szCs w:val="20"/>
                <w:lang w:eastAsia="en-GB"/>
              </w:rPr>
            </w:pPr>
          </w:p>
        </w:tc>
        <w:tc>
          <w:tcPr>
            <w:tcW w:w="977" w:type="dxa"/>
            <w:tcBorders>
              <w:top w:val="single" w:sz="4" w:space="0" w:color="auto"/>
              <w:left w:val="nil"/>
              <w:bottom w:val="double" w:sz="4" w:space="0" w:color="auto"/>
              <w:right w:val="nil"/>
            </w:tcBorders>
            <w:vAlign w:val="bottom"/>
          </w:tcPr>
          <w:p w14:paraId="4E55BCF8" w14:textId="77777777" w:rsidR="008C676E" w:rsidRDefault="008C676E">
            <w:pPr>
              <w:spacing w:after="0" w:line="240" w:lineRule="auto"/>
              <w:jc w:val="right"/>
              <w:rPr>
                <w:rFonts w:ascii="Arial" w:eastAsia="Times New Roman" w:hAnsi="Arial" w:cs="Arial"/>
                <w:b/>
                <w:sz w:val="20"/>
                <w:szCs w:val="20"/>
                <w:lang w:eastAsia="en-GB"/>
              </w:rPr>
            </w:pPr>
          </w:p>
        </w:tc>
        <w:tc>
          <w:tcPr>
            <w:tcW w:w="977" w:type="dxa"/>
            <w:tcBorders>
              <w:top w:val="single" w:sz="4" w:space="0" w:color="auto"/>
              <w:left w:val="nil"/>
              <w:bottom w:val="double" w:sz="4" w:space="0" w:color="auto"/>
              <w:right w:val="nil"/>
            </w:tcBorders>
            <w:vAlign w:val="bottom"/>
          </w:tcPr>
          <w:p w14:paraId="4A3F5E3E" w14:textId="77777777" w:rsidR="008C676E" w:rsidRDefault="008C676E">
            <w:pPr>
              <w:spacing w:after="0" w:line="240" w:lineRule="auto"/>
              <w:jc w:val="right"/>
              <w:rPr>
                <w:rFonts w:ascii="Arial" w:eastAsia="Times New Roman" w:hAnsi="Arial" w:cs="Arial"/>
                <w:b/>
                <w:sz w:val="20"/>
                <w:szCs w:val="20"/>
                <w:lang w:eastAsia="en-GB"/>
              </w:rPr>
            </w:pPr>
          </w:p>
        </w:tc>
        <w:tc>
          <w:tcPr>
            <w:tcW w:w="977" w:type="dxa"/>
            <w:tcBorders>
              <w:top w:val="single" w:sz="4" w:space="0" w:color="auto"/>
              <w:left w:val="nil"/>
              <w:bottom w:val="double" w:sz="4" w:space="0" w:color="auto"/>
              <w:right w:val="nil"/>
            </w:tcBorders>
            <w:vAlign w:val="bottom"/>
          </w:tcPr>
          <w:p w14:paraId="7C0F5CCB" w14:textId="77777777" w:rsidR="008C676E" w:rsidRDefault="008C676E">
            <w:pPr>
              <w:spacing w:after="0" w:line="240" w:lineRule="auto"/>
              <w:jc w:val="right"/>
              <w:rPr>
                <w:rFonts w:ascii="Arial" w:eastAsia="Times New Roman" w:hAnsi="Arial" w:cs="Arial"/>
                <w:b/>
                <w:sz w:val="20"/>
                <w:szCs w:val="20"/>
                <w:lang w:eastAsia="en-GB"/>
              </w:rPr>
            </w:pPr>
          </w:p>
        </w:tc>
        <w:tc>
          <w:tcPr>
            <w:tcW w:w="977" w:type="dxa"/>
            <w:tcBorders>
              <w:top w:val="single" w:sz="4" w:space="0" w:color="auto"/>
              <w:left w:val="nil"/>
              <w:bottom w:val="double" w:sz="4" w:space="0" w:color="auto"/>
              <w:right w:val="nil"/>
            </w:tcBorders>
            <w:vAlign w:val="bottom"/>
          </w:tcPr>
          <w:p w14:paraId="7467C3A4" w14:textId="77777777" w:rsidR="008C676E" w:rsidRDefault="008C676E">
            <w:pPr>
              <w:spacing w:after="0" w:line="240" w:lineRule="auto"/>
              <w:jc w:val="right"/>
              <w:rPr>
                <w:rFonts w:ascii="Arial" w:eastAsia="Times New Roman" w:hAnsi="Arial" w:cs="Arial"/>
                <w:b/>
                <w:sz w:val="20"/>
                <w:szCs w:val="20"/>
                <w:lang w:eastAsia="en-GB"/>
              </w:rPr>
            </w:pPr>
          </w:p>
        </w:tc>
        <w:tc>
          <w:tcPr>
            <w:tcW w:w="977" w:type="dxa"/>
            <w:tcBorders>
              <w:top w:val="single" w:sz="4" w:space="0" w:color="auto"/>
              <w:left w:val="nil"/>
              <w:bottom w:val="double" w:sz="4" w:space="0" w:color="auto"/>
              <w:right w:val="nil"/>
            </w:tcBorders>
            <w:noWrap/>
            <w:vAlign w:val="bottom"/>
          </w:tcPr>
          <w:p w14:paraId="4BC959FF" w14:textId="77777777" w:rsidR="008C676E" w:rsidRDefault="008C676E">
            <w:pPr>
              <w:spacing w:after="0" w:line="240" w:lineRule="auto"/>
              <w:jc w:val="right"/>
              <w:rPr>
                <w:rFonts w:ascii="Arial" w:eastAsia="Times New Roman" w:hAnsi="Arial" w:cs="Arial"/>
                <w:b/>
                <w:sz w:val="20"/>
                <w:szCs w:val="20"/>
                <w:lang w:eastAsia="en-GB"/>
              </w:rPr>
            </w:pPr>
          </w:p>
        </w:tc>
        <w:tc>
          <w:tcPr>
            <w:tcW w:w="978" w:type="dxa"/>
            <w:tcBorders>
              <w:top w:val="single" w:sz="4" w:space="0" w:color="auto"/>
              <w:left w:val="nil"/>
              <w:bottom w:val="double" w:sz="4" w:space="0" w:color="auto"/>
              <w:right w:val="nil"/>
            </w:tcBorders>
            <w:vAlign w:val="bottom"/>
          </w:tcPr>
          <w:p w14:paraId="068E6960" w14:textId="77777777" w:rsidR="008C676E" w:rsidRDefault="008C676E">
            <w:pPr>
              <w:spacing w:after="0" w:line="240" w:lineRule="auto"/>
              <w:jc w:val="right"/>
              <w:rPr>
                <w:rFonts w:ascii="Arial" w:eastAsia="Times New Roman" w:hAnsi="Arial" w:cs="Arial"/>
                <w:b/>
                <w:sz w:val="20"/>
                <w:szCs w:val="20"/>
                <w:lang w:eastAsia="en-GB"/>
              </w:rPr>
            </w:pPr>
          </w:p>
        </w:tc>
      </w:tr>
      <w:tr w:rsidR="008C676E" w14:paraId="0E0A4EB8" w14:textId="77777777" w:rsidTr="008C676E">
        <w:trPr>
          <w:trHeight w:val="283"/>
        </w:trPr>
        <w:tc>
          <w:tcPr>
            <w:tcW w:w="3119" w:type="dxa"/>
            <w:tcBorders>
              <w:top w:val="single" w:sz="4" w:space="0" w:color="auto"/>
              <w:left w:val="nil"/>
              <w:bottom w:val="double" w:sz="4" w:space="0" w:color="auto"/>
              <w:right w:val="nil"/>
            </w:tcBorders>
            <w:noWrap/>
            <w:vAlign w:val="center"/>
            <w:hideMark/>
          </w:tcPr>
          <w:p w14:paraId="1AE0CDFB" w14:textId="77777777" w:rsidR="008C676E" w:rsidRDefault="008C676E">
            <w:pPr>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 xml:space="preserve">Balance </w:t>
            </w:r>
            <w:proofErr w:type="gramStart"/>
            <w:r>
              <w:rPr>
                <w:rFonts w:ascii="Arial" w:eastAsia="Times New Roman" w:hAnsi="Arial" w:cs="Arial"/>
                <w:b/>
                <w:sz w:val="18"/>
                <w:szCs w:val="18"/>
                <w:lang w:eastAsia="en-GB"/>
              </w:rPr>
              <w:t>at</w:t>
            </w:r>
            <w:proofErr w:type="gramEnd"/>
            <w:r>
              <w:rPr>
                <w:rFonts w:ascii="Arial" w:eastAsia="Times New Roman" w:hAnsi="Arial" w:cs="Arial"/>
                <w:b/>
                <w:sz w:val="18"/>
                <w:szCs w:val="18"/>
                <w:lang w:eastAsia="en-GB"/>
              </w:rPr>
              <w:t xml:space="preserve"> 31 March 2024</w:t>
            </w:r>
          </w:p>
        </w:tc>
        <w:tc>
          <w:tcPr>
            <w:tcW w:w="737" w:type="dxa"/>
            <w:tcBorders>
              <w:top w:val="single" w:sz="4" w:space="0" w:color="auto"/>
              <w:left w:val="nil"/>
              <w:bottom w:val="double" w:sz="4" w:space="0" w:color="auto"/>
              <w:right w:val="nil"/>
            </w:tcBorders>
            <w:vAlign w:val="bottom"/>
          </w:tcPr>
          <w:p w14:paraId="3D4AD187" w14:textId="77777777" w:rsidR="008C676E" w:rsidRDefault="008C676E">
            <w:pPr>
              <w:spacing w:after="0" w:line="240" w:lineRule="auto"/>
              <w:jc w:val="center"/>
              <w:rPr>
                <w:rFonts w:ascii="Arial" w:eastAsia="Times New Roman" w:hAnsi="Arial" w:cs="Arial"/>
                <w:b/>
                <w:sz w:val="20"/>
                <w:szCs w:val="20"/>
                <w:lang w:eastAsia="en-GB"/>
              </w:rPr>
            </w:pPr>
          </w:p>
        </w:tc>
        <w:tc>
          <w:tcPr>
            <w:tcW w:w="977" w:type="dxa"/>
            <w:tcBorders>
              <w:top w:val="single" w:sz="4" w:space="0" w:color="auto"/>
              <w:left w:val="nil"/>
              <w:bottom w:val="double" w:sz="4" w:space="0" w:color="auto"/>
              <w:right w:val="nil"/>
            </w:tcBorders>
            <w:vAlign w:val="bottom"/>
            <w:hideMark/>
          </w:tcPr>
          <w:p w14:paraId="7A54FC7C" w14:textId="77777777" w:rsidR="008C676E" w:rsidRDefault="008C676E">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48.4</w:t>
            </w:r>
          </w:p>
        </w:tc>
        <w:tc>
          <w:tcPr>
            <w:tcW w:w="977" w:type="dxa"/>
            <w:tcBorders>
              <w:top w:val="single" w:sz="4" w:space="0" w:color="auto"/>
              <w:left w:val="nil"/>
              <w:bottom w:val="double" w:sz="4" w:space="0" w:color="auto"/>
              <w:right w:val="nil"/>
            </w:tcBorders>
            <w:vAlign w:val="bottom"/>
            <w:hideMark/>
          </w:tcPr>
          <w:p w14:paraId="29671616" w14:textId="77777777" w:rsidR="008C676E" w:rsidRDefault="008C676E">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1.3</w:t>
            </w:r>
          </w:p>
        </w:tc>
        <w:tc>
          <w:tcPr>
            <w:tcW w:w="977" w:type="dxa"/>
            <w:tcBorders>
              <w:top w:val="single" w:sz="4" w:space="0" w:color="auto"/>
              <w:left w:val="nil"/>
              <w:bottom w:val="double" w:sz="4" w:space="0" w:color="auto"/>
              <w:right w:val="nil"/>
            </w:tcBorders>
            <w:vAlign w:val="bottom"/>
            <w:hideMark/>
          </w:tcPr>
          <w:p w14:paraId="72C71957" w14:textId="77777777" w:rsidR="008C676E" w:rsidRDefault="008C676E">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12.5</w:t>
            </w:r>
          </w:p>
        </w:tc>
        <w:tc>
          <w:tcPr>
            <w:tcW w:w="977" w:type="dxa"/>
            <w:tcBorders>
              <w:top w:val="single" w:sz="4" w:space="0" w:color="auto"/>
              <w:left w:val="nil"/>
              <w:bottom w:val="double" w:sz="4" w:space="0" w:color="auto"/>
              <w:right w:val="nil"/>
            </w:tcBorders>
            <w:vAlign w:val="bottom"/>
            <w:hideMark/>
          </w:tcPr>
          <w:p w14:paraId="5B240628" w14:textId="77777777" w:rsidR="008C676E" w:rsidRDefault="008C676E">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4.5</w:t>
            </w:r>
          </w:p>
        </w:tc>
        <w:tc>
          <w:tcPr>
            <w:tcW w:w="977" w:type="dxa"/>
            <w:tcBorders>
              <w:top w:val="single" w:sz="4" w:space="0" w:color="auto"/>
              <w:left w:val="nil"/>
              <w:bottom w:val="double" w:sz="4" w:space="0" w:color="auto"/>
              <w:right w:val="nil"/>
            </w:tcBorders>
            <w:noWrap/>
            <w:vAlign w:val="bottom"/>
            <w:hideMark/>
          </w:tcPr>
          <w:p w14:paraId="100D0793" w14:textId="77777777" w:rsidR="008C676E" w:rsidRDefault="008C676E">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370.8</w:t>
            </w:r>
          </w:p>
        </w:tc>
        <w:tc>
          <w:tcPr>
            <w:tcW w:w="978" w:type="dxa"/>
            <w:tcBorders>
              <w:top w:val="single" w:sz="4" w:space="0" w:color="auto"/>
              <w:left w:val="nil"/>
              <w:bottom w:val="double" w:sz="4" w:space="0" w:color="auto"/>
              <w:right w:val="nil"/>
            </w:tcBorders>
            <w:vAlign w:val="bottom"/>
            <w:hideMark/>
          </w:tcPr>
          <w:p w14:paraId="5EE83A1D" w14:textId="77777777" w:rsidR="008C676E" w:rsidRDefault="008C676E">
            <w:pPr>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437.5</w:t>
            </w:r>
          </w:p>
        </w:tc>
      </w:tr>
    </w:tbl>
    <w:p w14:paraId="3C7A96B3" w14:textId="77777777" w:rsidR="008C676E" w:rsidRDefault="008C676E" w:rsidP="008C676E">
      <w:pPr>
        <w:spacing w:after="0"/>
        <w:jc w:val="both"/>
        <w:rPr>
          <w:rFonts w:ascii="Arial" w:hAnsi="Arial" w:cs="Arial"/>
          <w:i/>
          <w:iCs/>
          <w:sz w:val="20"/>
          <w:szCs w:val="20"/>
          <w:highlight w:val="yellow"/>
        </w:rPr>
      </w:pPr>
    </w:p>
    <w:p w14:paraId="45F43129" w14:textId="77777777" w:rsidR="008C676E" w:rsidRDefault="008C676E" w:rsidP="008C676E">
      <w:pPr>
        <w:spacing w:after="0"/>
        <w:jc w:val="both"/>
        <w:rPr>
          <w:rFonts w:ascii="Arial" w:hAnsi="Arial" w:cs="Arial"/>
          <w:sz w:val="20"/>
          <w:szCs w:val="20"/>
          <w:highlight w:val="yellow"/>
        </w:rPr>
      </w:pPr>
    </w:p>
    <w:p w14:paraId="440ECD75" w14:textId="77777777" w:rsidR="008C676E" w:rsidRDefault="008C676E" w:rsidP="008C676E">
      <w:pPr>
        <w:spacing w:after="0"/>
        <w:jc w:val="both"/>
        <w:rPr>
          <w:rFonts w:ascii="Arial" w:hAnsi="Arial" w:cs="Arial"/>
          <w:sz w:val="20"/>
          <w:szCs w:val="20"/>
          <w:highlight w:val="yellow"/>
        </w:rPr>
      </w:pPr>
    </w:p>
    <w:p w14:paraId="6FC9ED8E" w14:textId="77777777" w:rsidR="00D01DDA" w:rsidRDefault="00D01DDA" w:rsidP="008C676E">
      <w:pPr>
        <w:spacing w:after="0" w:line="240" w:lineRule="auto"/>
        <w:jc w:val="both"/>
        <w:rPr>
          <w:rFonts w:ascii="Arial" w:eastAsia="Times New Roman" w:hAnsi="Arial" w:cs="Arial"/>
          <w:sz w:val="32"/>
          <w:szCs w:val="32"/>
          <w:lang w:eastAsia="en-GB"/>
        </w:rPr>
      </w:pPr>
    </w:p>
    <w:p w14:paraId="196CABE2" w14:textId="77777777" w:rsidR="00D01DDA" w:rsidRDefault="00D01DDA" w:rsidP="008C676E">
      <w:pPr>
        <w:spacing w:after="0" w:line="240" w:lineRule="auto"/>
        <w:jc w:val="both"/>
        <w:rPr>
          <w:rFonts w:ascii="Arial" w:eastAsia="Times New Roman" w:hAnsi="Arial" w:cs="Arial"/>
          <w:sz w:val="32"/>
          <w:szCs w:val="32"/>
          <w:lang w:eastAsia="en-GB"/>
        </w:rPr>
      </w:pPr>
    </w:p>
    <w:p w14:paraId="4C0EE7A4" w14:textId="77777777" w:rsidR="00D01DDA" w:rsidRDefault="00D01DDA" w:rsidP="008C676E">
      <w:pPr>
        <w:spacing w:after="0" w:line="240" w:lineRule="auto"/>
        <w:jc w:val="both"/>
        <w:rPr>
          <w:rFonts w:ascii="Arial" w:eastAsia="Times New Roman" w:hAnsi="Arial" w:cs="Arial"/>
          <w:sz w:val="32"/>
          <w:szCs w:val="32"/>
          <w:lang w:eastAsia="en-GB"/>
        </w:rPr>
      </w:pPr>
    </w:p>
    <w:p w14:paraId="55AB3F2F" w14:textId="77777777" w:rsidR="00D01DDA" w:rsidRDefault="00D01DDA" w:rsidP="008C676E">
      <w:pPr>
        <w:spacing w:after="0" w:line="240" w:lineRule="auto"/>
        <w:jc w:val="both"/>
        <w:rPr>
          <w:rFonts w:ascii="Arial" w:eastAsia="Times New Roman" w:hAnsi="Arial" w:cs="Arial"/>
          <w:sz w:val="32"/>
          <w:szCs w:val="32"/>
          <w:lang w:eastAsia="en-GB"/>
        </w:rPr>
      </w:pPr>
    </w:p>
    <w:p w14:paraId="4AA14788" w14:textId="77777777" w:rsidR="00D01DDA" w:rsidRDefault="00D01DDA" w:rsidP="008C676E">
      <w:pPr>
        <w:spacing w:after="0" w:line="240" w:lineRule="auto"/>
        <w:jc w:val="both"/>
        <w:rPr>
          <w:rFonts w:ascii="Arial" w:eastAsia="Times New Roman" w:hAnsi="Arial" w:cs="Arial"/>
          <w:sz w:val="32"/>
          <w:szCs w:val="32"/>
          <w:lang w:eastAsia="en-GB"/>
        </w:rPr>
      </w:pPr>
    </w:p>
    <w:p w14:paraId="6A769F31" w14:textId="77777777" w:rsidR="00D01DDA" w:rsidRDefault="00D01DDA" w:rsidP="008C676E">
      <w:pPr>
        <w:spacing w:after="0" w:line="240" w:lineRule="auto"/>
        <w:jc w:val="both"/>
        <w:rPr>
          <w:rFonts w:ascii="Arial" w:eastAsia="Times New Roman" w:hAnsi="Arial" w:cs="Arial"/>
          <w:sz w:val="32"/>
          <w:szCs w:val="32"/>
          <w:lang w:eastAsia="en-GB"/>
        </w:rPr>
      </w:pPr>
    </w:p>
    <w:p w14:paraId="0396ACA4" w14:textId="77777777" w:rsidR="00D01DDA" w:rsidRDefault="00D01DDA" w:rsidP="008C676E">
      <w:pPr>
        <w:spacing w:after="0" w:line="240" w:lineRule="auto"/>
        <w:jc w:val="both"/>
        <w:rPr>
          <w:rFonts w:ascii="Arial" w:eastAsia="Times New Roman" w:hAnsi="Arial" w:cs="Arial"/>
          <w:sz w:val="32"/>
          <w:szCs w:val="32"/>
          <w:lang w:eastAsia="en-GB"/>
        </w:rPr>
      </w:pPr>
    </w:p>
    <w:p w14:paraId="51AB4134" w14:textId="77777777" w:rsidR="00D01DDA" w:rsidRDefault="00D01DDA" w:rsidP="008C676E">
      <w:pPr>
        <w:spacing w:after="0" w:line="240" w:lineRule="auto"/>
        <w:jc w:val="both"/>
        <w:rPr>
          <w:rFonts w:ascii="Arial" w:eastAsia="Times New Roman" w:hAnsi="Arial" w:cs="Arial"/>
          <w:sz w:val="32"/>
          <w:szCs w:val="32"/>
          <w:lang w:eastAsia="en-GB"/>
        </w:rPr>
      </w:pPr>
    </w:p>
    <w:p w14:paraId="56AE7399" w14:textId="77777777" w:rsidR="0051500E" w:rsidRDefault="0051500E" w:rsidP="008C676E">
      <w:pPr>
        <w:spacing w:after="0" w:line="240" w:lineRule="auto"/>
        <w:jc w:val="both"/>
        <w:rPr>
          <w:rFonts w:ascii="Arial" w:eastAsia="Times New Roman" w:hAnsi="Arial" w:cs="Arial"/>
          <w:sz w:val="32"/>
          <w:szCs w:val="32"/>
          <w:lang w:eastAsia="en-GB"/>
        </w:rPr>
      </w:pPr>
    </w:p>
    <w:p w14:paraId="64ADDB35" w14:textId="77777777" w:rsidR="00D01DDA" w:rsidRDefault="00D01DDA" w:rsidP="008C676E">
      <w:pPr>
        <w:spacing w:after="0" w:line="240" w:lineRule="auto"/>
        <w:jc w:val="both"/>
        <w:rPr>
          <w:rFonts w:ascii="Arial" w:eastAsia="Times New Roman" w:hAnsi="Arial" w:cs="Arial"/>
          <w:sz w:val="32"/>
          <w:szCs w:val="32"/>
          <w:lang w:eastAsia="en-GB"/>
        </w:rPr>
      </w:pPr>
    </w:p>
    <w:p w14:paraId="52EFAAB6" w14:textId="77777777" w:rsidR="00D01DDA" w:rsidRDefault="00D01DDA" w:rsidP="008C676E">
      <w:pPr>
        <w:spacing w:after="0" w:line="240" w:lineRule="auto"/>
        <w:jc w:val="both"/>
        <w:rPr>
          <w:rFonts w:ascii="Arial" w:eastAsia="Times New Roman" w:hAnsi="Arial" w:cs="Arial"/>
          <w:sz w:val="32"/>
          <w:szCs w:val="32"/>
          <w:lang w:eastAsia="en-GB"/>
        </w:rPr>
      </w:pPr>
    </w:p>
    <w:p w14:paraId="39AB2E62" w14:textId="77777777" w:rsidR="00ED68B7" w:rsidRDefault="00ED68B7" w:rsidP="008C676E">
      <w:pPr>
        <w:spacing w:after="0" w:line="240" w:lineRule="auto"/>
        <w:jc w:val="both"/>
        <w:rPr>
          <w:rFonts w:ascii="Arial" w:eastAsia="Times New Roman" w:hAnsi="Arial" w:cs="Arial"/>
          <w:sz w:val="32"/>
          <w:szCs w:val="32"/>
          <w:lang w:eastAsia="en-GB"/>
        </w:rPr>
      </w:pPr>
    </w:p>
    <w:p w14:paraId="62543366" w14:textId="47C1BCC6" w:rsidR="008C676E" w:rsidRDefault="00D01DDA" w:rsidP="008C676E">
      <w:pPr>
        <w:spacing w:after="0" w:line="240" w:lineRule="auto"/>
        <w:jc w:val="both"/>
        <w:rPr>
          <w:rFonts w:ascii="Arial" w:eastAsia="Times New Roman" w:hAnsi="Arial" w:cs="Arial"/>
          <w:sz w:val="32"/>
          <w:szCs w:val="32"/>
          <w:lang w:eastAsia="en-GB"/>
        </w:rPr>
      </w:pPr>
      <w:r>
        <w:rPr>
          <w:rFonts w:ascii="Arial" w:eastAsia="Times New Roman" w:hAnsi="Arial" w:cs="Arial"/>
          <w:sz w:val="32"/>
          <w:szCs w:val="32"/>
          <w:lang w:eastAsia="en-GB"/>
        </w:rPr>
        <w:lastRenderedPageBreak/>
        <w:t>Unaudited c</w:t>
      </w:r>
      <w:r w:rsidR="008C676E">
        <w:rPr>
          <w:rFonts w:ascii="Arial" w:eastAsia="Times New Roman" w:hAnsi="Arial" w:cs="Arial"/>
          <w:sz w:val="32"/>
          <w:szCs w:val="32"/>
          <w:lang w:eastAsia="en-GB"/>
        </w:rPr>
        <w:t>onsolidated statement of financial position</w:t>
      </w:r>
    </w:p>
    <w:p w14:paraId="5344B907" w14:textId="77777777" w:rsidR="008C676E" w:rsidRDefault="008C676E" w:rsidP="008C676E">
      <w:pPr>
        <w:spacing w:after="0" w:line="240" w:lineRule="auto"/>
        <w:jc w:val="both"/>
        <w:rPr>
          <w:rFonts w:ascii="Arial" w:eastAsia="Times New Roman" w:hAnsi="Arial" w:cs="Arial"/>
          <w:sz w:val="20"/>
          <w:szCs w:val="20"/>
          <w:lang w:eastAsia="en-GB"/>
        </w:rPr>
      </w:pPr>
    </w:p>
    <w:p w14:paraId="0E7B2DBE" w14:textId="77777777" w:rsidR="008C676E" w:rsidRDefault="008C676E" w:rsidP="008C676E">
      <w:pPr>
        <w:spacing w:after="0"/>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As </w:t>
      </w:r>
      <w:proofErr w:type="gramStart"/>
      <w:r>
        <w:rPr>
          <w:rFonts w:ascii="Arial" w:eastAsia="Times New Roman" w:hAnsi="Arial" w:cs="Arial"/>
          <w:sz w:val="20"/>
          <w:szCs w:val="20"/>
          <w:lang w:eastAsia="en-GB"/>
        </w:rPr>
        <w:t>at</w:t>
      </w:r>
      <w:proofErr w:type="gramEnd"/>
      <w:r>
        <w:rPr>
          <w:rFonts w:ascii="Arial" w:eastAsia="Times New Roman" w:hAnsi="Arial" w:cs="Arial"/>
          <w:sz w:val="20"/>
          <w:szCs w:val="20"/>
          <w:lang w:eastAsia="en-GB"/>
        </w:rPr>
        <w:t xml:space="preserve"> 31 March 2024</w:t>
      </w:r>
    </w:p>
    <w:p w14:paraId="26969097" w14:textId="77777777" w:rsidR="008C676E" w:rsidRDefault="008C676E" w:rsidP="008C676E">
      <w:pPr>
        <w:spacing w:after="0"/>
        <w:jc w:val="both"/>
        <w:rPr>
          <w:rFonts w:ascii="Arial" w:hAnsi="Arial" w:cs="Arial"/>
          <w:sz w:val="20"/>
          <w:szCs w:val="20"/>
        </w:rPr>
      </w:pPr>
    </w:p>
    <w:tbl>
      <w:tblPr>
        <w:tblW w:w="9752" w:type="dxa"/>
        <w:tblLook w:val="04A0" w:firstRow="1" w:lastRow="0" w:firstColumn="1" w:lastColumn="0" w:noHBand="0" w:noVBand="1"/>
      </w:tblPr>
      <w:tblGrid>
        <w:gridCol w:w="5896"/>
        <w:gridCol w:w="794"/>
        <w:gridCol w:w="1531"/>
        <w:gridCol w:w="1531"/>
      </w:tblGrid>
      <w:tr w:rsidR="008C676E" w14:paraId="2724A48D" w14:textId="77777777" w:rsidTr="008C676E">
        <w:trPr>
          <w:trHeight w:val="261"/>
        </w:trPr>
        <w:tc>
          <w:tcPr>
            <w:tcW w:w="5896" w:type="dxa"/>
            <w:noWrap/>
            <w:vAlign w:val="bottom"/>
            <w:hideMark/>
          </w:tcPr>
          <w:p w14:paraId="7935BE07" w14:textId="77777777" w:rsidR="008C676E" w:rsidRDefault="008C676E">
            <w:pPr>
              <w:rPr>
                <w:rFonts w:ascii="Arial" w:hAnsi="Arial" w:cs="Arial"/>
                <w:sz w:val="20"/>
                <w:szCs w:val="20"/>
              </w:rPr>
            </w:pPr>
          </w:p>
        </w:tc>
        <w:tc>
          <w:tcPr>
            <w:tcW w:w="794" w:type="dxa"/>
            <w:vAlign w:val="bottom"/>
            <w:hideMark/>
          </w:tcPr>
          <w:p w14:paraId="1DC81632" w14:textId="77777777" w:rsidR="008C676E" w:rsidRDefault="008C676E">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Note</w:t>
            </w:r>
          </w:p>
        </w:tc>
        <w:tc>
          <w:tcPr>
            <w:tcW w:w="1531" w:type="dxa"/>
            <w:vAlign w:val="bottom"/>
            <w:hideMark/>
          </w:tcPr>
          <w:p w14:paraId="20083530"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2024</w:t>
            </w:r>
          </w:p>
        </w:tc>
        <w:tc>
          <w:tcPr>
            <w:tcW w:w="1531" w:type="dxa"/>
            <w:vAlign w:val="bottom"/>
            <w:hideMark/>
          </w:tcPr>
          <w:p w14:paraId="75ED2EAD"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2023</w:t>
            </w:r>
          </w:p>
        </w:tc>
      </w:tr>
      <w:tr w:rsidR="008C676E" w14:paraId="50788589" w14:textId="77777777" w:rsidTr="008C676E">
        <w:trPr>
          <w:trHeight w:val="261"/>
        </w:trPr>
        <w:tc>
          <w:tcPr>
            <w:tcW w:w="5896" w:type="dxa"/>
            <w:noWrap/>
            <w:vAlign w:val="center"/>
          </w:tcPr>
          <w:p w14:paraId="43C978E2" w14:textId="77777777" w:rsidR="008C676E" w:rsidRDefault="008C676E">
            <w:pPr>
              <w:spacing w:after="0" w:line="240" w:lineRule="auto"/>
              <w:rPr>
                <w:rFonts w:ascii="Arial" w:eastAsia="Times New Roman" w:hAnsi="Arial" w:cs="Arial"/>
                <w:b/>
                <w:bCs/>
                <w:sz w:val="18"/>
                <w:szCs w:val="18"/>
                <w:lang w:eastAsia="en-GB"/>
              </w:rPr>
            </w:pPr>
          </w:p>
        </w:tc>
        <w:tc>
          <w:tcPr>
            <w:tcW w:w="794" w:type="dxa"/>
          </w:tcPr>
          <w:p w14:paraId="232F50C4"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vAlign w:val="bottom"/>
            <w:hideMark/>
          </w:tcPr>
          <w:p w14:paraId="693A40CC"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c>
          <w:tcPr>
            <w:tcW w:w="1531" w:type="dxa"/>
            <w:vAlign w:val="bottom"/>
            <w:hideMark/>
          </w:tcPr>
          <w:p w14:paraId="7AD4CAE4"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r>
      <w:tr w:rsidR="008C676E" w14:paraId="06A71A24" w14:textId="77777777" w:rsidTr="008C676E">
        <w:trPr>
          <w:trHeight w:val="261"/>
        </w:trPr>
        <w:tc>
          <w:tcPr>
            <w:tcW w:w="5896" w:type="dxa"/>
            <w:tcBorders>
              <w:top w:val="single" w:sz="4" w:space="0" w:color="auto"/>
              <w:left w:val="nil"/>
              <w:bottom w:val="nil"/>
              <w:right w:val="nil"/>
            </w:tcBorders>
            <w:noWrap/>
            <w:vAlign w:val="center"/>
            <w:hideMark/>
          </w:tcPr>
          <w:p w14:paraId="3AA7CA96"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ASSETS</w:t>
            </w:r>
          </w:p>
        </w:tc>
        <w:tc>
          <w:tcPr>
            <w:tcW w:w="794" w:type="dxa"/>
            <w:tcBorders>
              <w:top w:val="single" w:sz="4" w:space="0" w:color="auto"/>
              <w:left w:val="nil"/>
              <w:bottom w:val="nil"/>
              <w:right w:val="nil"/>
            </w:tcBorders>
          </w:tcPr>
          <w:p w14:paraId="5213B2F5"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nil"/>
              <w:right w:val="nil"/>
            </w:tcBorders>
            <w:vAlign w:val="bottom"/>
          </w:tcPr>
          <w:p w14:paraId="58C5525F" w14:textId="77777777" w:rsidR="008C676E" w:rsidRDefault="008C676E">
            <w:pPr>
              <w:spacing w:after="0" w:line="240" w:lineRule="auto"/>
              <w:jc w:val="right"/>
              <w:rPr>
                <w:rFonts w:ascii="Arial" w:eastAsia="Times New Roman" w:hAnsi="Arial" w:cs="Arial"/>
                <w:sz w:val="18"/>
                <w:szCs w:val="18"/>
                <w:highlight w:val="yellow"/>
                <w:lang w:eastAsia="en-GB"/>
              </w:rPr>
            </w:pPr>
          </w:p>
        </w:tc>
        <w:tc>
          <w:tcPr>
            <w:tcW w:w="1531" w:type="dxa"/>
            <w:tcBorders>
              <w:top w:val="single" w:sz="4" w:space="0" w:color="auto"/>
              <w:left w:val="nil"/>
              <w:bottom w:val="nil"/>
              <w:right w:val="nil"/>
            </w:tcBorders>
            <w:vAlign w:val="bottom"/>
          </w:tcPr>
          <w:p w14:paraId="24F5D989" w14:textId="77777777" w:rsidR="008C676E" w:rsidRDefault="008C676E">
            <w:pPr>
              <w:spacing w:after="0" w:line="240" w:lineRule="auto"/>
              <w:jc w:val="right"/>
              <w:rPr>
                <w:rFonts w:ascii="Arial" w:eastAsia="Times New Roman" w:hAnsi="Arial" w:cs="Arial"/>
                <w:sz w:val="18"/>
                <w:szCs w:val="18"/>
                <w:highlight w:val="yellow"/>
                <w:lang w:eastAsia="en-GB"/>
              </w:rPr>
            </w:pPr>
          </w:p>
        </w:tc>
      </w:tr>
      <w:tr w:rsidR="008C676E" w14:paraId="1480C2FB" w14:textId="77777777" w:rsidTr="008C676E">
        <w:trPr>
          <w:trHeight w:val="261"/>
        </w:trPr>
        <w:tc>
          <w:tcPr>
            <w:tcW w:w="5896" w:type="dxa"/>
            <w:noWrap/>
            <w:vAlign w:val="center"/>
            <w:hideMark/>
          </w:tcPr>
          <w:p w14:paraId="53A2817D"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Non-current assets</w:t>
            </w:r>
          </w:p>
        </w:tc>
        <w:tc>
          <w:tcPr>
            <w:tcW w:w="794" w:type="dxa"/>
          </w:tcPr>
          <w:p w14:paraId="1C4E6AE9" w14:textId="77777777" w:rsidR="008C676E" w:rsidRDefault="008C676E">
            <w:pPr>
              <w:spacing w:after="0" w:line="240" w:lineRule="auto"/>
              <w:jc w:val="center"/>
              <w:rPr>
                <w:rFonts w:ascii="Arial" w:eastAsia="Times New Roman" w:hAnsi="Arial" w:cs="Arial"/>
                <w:b/>
                <w:bCs/>
                <w:sz w:val="18"/>
                <w:szCs w:val="18"/>
                <w:lang w:eastAsia="en-GB"/>
              </w:rPr>
            </w:pPr>
          </w:p>
        </w:tc>
        <w:tc>
          <w:tcPr>
            <w:tcW w:w="1531" w:type="dxa"/>
            <w:vAlign w:val="bottom"/>
          </w:tcPr>
          <w:p w14:paraId="07681F99" w14:textId="77777777" w:rsidR="008C676E" w:rsidRDefault="008C676E">
            <w:pPr>
              <w:spacing w:after="0" w:line="240" w:lineRule="auto"/>
              <w:jc w:val="right"/>
              <w:rPr>
                <w:rFonts w:ascii="Arial" w:eastAsia="Times New Roman" w:hAnsi="Arial" w:cs="Arial"/>
                <w:b/>
                <w:bCs/>
                <w:sz w:val="18"/>
                <w:szCs w:val="18"/>
                <w:highlight w:val="yellow"/>
                <w:lang w:eastAsia="en-GB"/>
              </w:rPr>
            </w:pPr>
          </w:p>
        </w:tc>
        <w:tc>
          <w:tcPr>
            <w:tcW w:w="1531" w:type="dxa"/>
            <w:vAlign w:val="bottom"/>
          </w:tcPr>
          <w:p w14:paraId="4090F7D7" w14:textId="77777777" w:rsidR="008C676E" w:rsidRDefault="008C676E">
            <w:pPr>
              <w:spacing w:after="0" w:line="240" w:lineRule="auto"/>
              <w:jc w:val="right"/>
              <w:rPr>
                <w:rFonts w:ascii="Arial" w:eastAsia="Times New Roman" w:hAnsi="Arial" w:cs="Arial"/>
                <w:b/>
                <w:bCs/>
                <w:sz w:val="18"/>
                <w:szCs w:val="18"/>
                <w:highlight w:val="yellow"/>
                <w:lang w:eastAsia="en-GB"/>
              </w:rPr>
            </w:pPr>
          </w:p>
        </w:tc>
      </w:tr>
      <w:tr w:rsidR="008C676E" w14:paraId="1076A67E" w14:textId="77777777" w:rsidTr="00F72BA1">
        <w:trPr>
          <w:trHeight w:val="261"/>
        </w:trPr>
        <w:tc>
          <w:tcPr>
            <w:tcW w:w="5896" w:type="dxa"/>
            <w:noWrap/>
            <w:vAlign w:val="center"/>
            <w:hideMark/>
          </w:tcPr>
          <w:p w14:paraId="2AC4E2CA"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Intangible assets</w:t>
            </w:r>
          </w:p>
        </w:tc>
        <w:tc>
          <w:tcPr>
            <w:tcW w:w="794" w:type="dxa"/>
            <w:vAlign w:val="center"/>
          </w:tcPr>
          <w:p w14:paraId="5E3D1D6C" w14:textId="6E73C45B" w:rsidR="008C676E" w:rsidRDefault="008C676E">
            <w:pPr>
              <w:spacing w:after="0" w:line="240" w:lineRule="auto"/>
              <w:jc w:val="center"/>
              <w:rPr>
                <w:rFonts w:ascii="Arial" w:hAnsi="Arial" w:cs="Arial"/>
                <w:sz w:val="18"/>
                <w:szCs w:val="18"/>
              </w:rPr>
            </w:pPr>
          </w:p>
        </w:tc>
        <w:tc>
          <w:tcPr>
            <w:tcW w:w="1531" w:type="dxa"/>
            <w:vAlign w:val="bottom"/>
            <w:hideMark/>
          </w:tcPr>
          <w:p w14:paraId="699EA15B"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343.2</w:t>
            </w:r>
          </w:p>
        </w:tc>
        <w:tc>
          <w:tcPr>
            <w:tcW w:w="1531" w:type="dxa"/>
            <w:vAlign w:val="bottom"/>
            <w:hideMark/>
          </w:tcPr>
          <w:p w14:paraId="05A11A32"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644.1</w:t>
            </w:r>
          </w:p>
        </w:tc>
      </w:tr>
      <w:tr w:rsidR="008C676E" w14:paraId="5803D247" w14:textId="77777777" w:rsidTr="00F72BA1">
        <w:trPr>
          <w:trHeight w:val="261"/>
        </w:trPr>
        <w:tc>
          <w:tcPr>
            <w:tcW w:w="5896" w:type="dxa"/>
            <w:noWrap/>
            <w:vAlign w:val="center"/>
            <w:hideMark/>
          </w:tcPr>
          <w:p w14:paraId="32DDD756" w14:textId="77777777" w:rsidR="008C676E" w:rsidRDefault="008C676E">
            <w:pPr>
              <w:spacing w:after="0" w:line="240" w:lineRule="auto"/>
              <w:rPr>
                <w:rFonts w:ascii="Arial" w:eastAsia="Times New Roman" w:hAnsi="Arial" w:cs="Arial"/>
                <w:b/>
                <w:bCs/>
                <w:sz w:val="18"/>
                <w:szCs w:val="18"/>
                <w:lang w:eastAsia="en-GB"/>
              </w:rPr>
            </w:pPr>
            <w:r>
              <w:rPr>
                <w:rFonts w:ascii="Arial" w:hAnsi="Arial" w:cs="Arial"/>
                <w:sz w:val="18"/>
                <w:szCs w:val="18"/>
              </w:rPr>
              <w:t>Property, plant and equipment</w:t>
            </w:r>
          </w:p>
        </w:tc>
        <w:tc>
          <w:tcPr>
            <w:tcW w:w="794" w:type="dxa"/>
            <w:vAlign w:val="center"/>
          </w:tcPr>
          <w:p w14:paraId="039AD47D" w14:textId="6A40BB63" w:rsidR="008C676E" w:rsidRDefault="008C676E">
            <w:pPr>
              <w:spacing w:after="0" w:line="240" w:lineRule="auto"/>
              <w:jc w:val="center"/>
              <w:rPr>
                <w:rFonts w:ascii="Arial" w:hAnsi="Arial" w:cs="Arial"/>
                <w:sz w:val="18"/>
                <w:szCs w:val="18"/>
              </w:rPr>
            </w:pPr>
          </w:p>
        </w:tc>
        <w:tc>
          <w:tcPr>
            <w:tcW w:w="1531" w:type="dxa"/>
            <w:vAlign w:val="bottom"/>
            <w:hideMark/>
          </w:tcPr>
          <w:p w14:paraId="65D67582"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10.1</w:t>
            </w:r>
          </w:p>
        </w:tc>
        <w:tc>
          <w:tcPr>
            <w:tcW w:w="1531" w:type="dxa"/>
            <w:vAlign w:val="bottom"/>
            <w:hideMark/>
          </w:tcPr>
          <w:p w14:paraId="6F66DB9C"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11.7</w:t>
            </w:r>
          </w:p>
        </w:tc>
      </w:tr>
      <w:tr w:rsidR="008C676E" w14:paraId="71A04B55" w14:textId="77777777" w:rsidTr="00F72BA1">
        <w:trPr>
          <w:trHeight w:val="261"/>
        </w:trPr>
        <w:tc>
          <w:tcPr>
            <w:tcW w:w="5896" w:type="dxa"/>
            <w:noWrap/>
            <w:vAlign w:val="center"/>
            <w:hideMark/>
          </w:tcPr>
          <w:p w14:paraId="25A6C922"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Right-of-use assets</w:t>
            </w:r>
          </w:p>
        </w:tc>
        <w:tc>
          <w:tcPr>
            <w:tcW w:w="794" w:type="dxa"/>
            <w:vAlign w:val="center"/>
          </w:tcPr>
          <w:p w14:paraId="0A7EE0F1" w14:textId="5061A732" w:rsidR="008C676E" w:rsidRDefault="008C676E">
            <w:pPr>
              <w:spacing w:after="0" w:line="240" w:lineRule="auto"/>
              <w:jc w:val="center"/>
              <w:rPr>
                <w:rFonts w:ascii="Arial" w:hAnsi="Arial" w:cs="Arial"/>
                <w:sz w:val="18"/>
                <w:szCs w:val="18"/>
              </w:rPr>
            </w:pPr>
          </w:p>
        </w:tc>
        <w:tc>
          <w:tcPr>
            <w:tcW w:w="1531" w:type="dxa"/>
            <w:vAlign w:val="bottom"/>
            <w:hideMark/>
          </w:tcPr>
          <w:p w14:paraId="40882AE2"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25.4</w:t>
            </w:r>
          </w:p>
        </w:tc>
        <w:tc>
          <w:tcPr>
            <w:tcW w:w="1531" w:type="dxa"/>
            <w:vAlign w:val="bottom"/>
            <w:hideMark/>
          </w:tcPr>
          <w:p w14:paraId="42E1F5D2"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27.4</w:t>
            </w:r>
          </w:p>
        </w:tc>
      </w:tr>
      <w:tr w:rsidR="008C676E" w14:paraId="4A5098B1" w14:textId="77777777" w:rsidTr="00F72BA1">
        <w:trPr>
          <w:trHeight w:val="261"/>
        </w:trPr>
        <w:tc>
          <w:tcPr>
            <w:tcW w:w="5896" w:type="dxa"/>
            <w:noWrap/>
            <w:vAlign w:val="center"/>
            <w:hideMark/>
          </w:tcPr>
          <w:p w14:paraId="2D76F81D"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Trade and other receivables</w:t>
            </w:r>
          </w:p>
        </w:tc>
        <w:tc>
          <w:tcPr>
            <w:tcW w:w="794" w:type="dxa"/>
            <w:vAlign w:val="center"/>
          </w:tcPr>
          <w:p w14:paraId="48192A4E" w14:textId="4D580806" w:rsidR="008C676E" w:rsidRDefault="00742B10">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1531" w:type="dxa"/>
            <w:vAlign w:val="bottom"/>
            <w:hideMark/>
          </w:tcPr>
          <w:p w14:paraId="0878CDE7"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1531" w:type="dxa"/>
            <w:vAlign w:val="bottom"/>
            <w:hideMark/>
          </w:tcPr>
          <w:p w14:paraId="1D7FC90C"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4.8</w:t>
            </w:r>
          </w:p>
        </w:tc>
      </w:tr>
      <w:tr w:rsidR="008C676E" w14:paraId="5CC35954" w14:textId="77777777" w:rsidTr="00F72BA1">
        <w:trPr>
          <w:trHeight w:val="261"/>
        </w:trPr>
        <w:tc>
          <w:tcPr>
            <w:tcW w:w="5896" w:type="dxa"/>
            <w:tcBorders>
              <w:top w:val="nil"/>
              <w:left w:val="nil"/>
              <w:bottom w:val="single" w:sz="4" w:space="0" w:color="auto"/>
              <w:right w:val="nil"/>
            </w:tcBorders>
            <w:noWrap/>
            <w:vAlign w:val="center"/>
            <w:hideMark/>
          </w:tcPr>
          <w:p w14:paraId="10FE9525"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Deferred tax asset</w:t>
            </w:r>
          </w:p>
        </w:tc>
        <w:tc>
          <w:tcPr>
            <w:tcW w:w="794" w:type="dxa"/>
            <w:tcBorders>
              <w:top w:val="nil"/>
              <w:left w:val="nil"/>
              <w:bottom w:val="single" w:sz="4" w:space="0" w:color="auto"/>
              <w:right w:val="nil"/>
            </w:tcBorders>
            <w:vAlign w:val="center"/>
          </w:tcPr>
          <w:p w14:paraId="11AC73ED" w14:textId="4538A65F" w:rsidR="008C676E" w:rsidRDefault="008C676E">
            <w:pPr>
              <w:spacing w:after="0" w:line="240" w:lineRule="auto"/>
              <w:jc w:val="center"/>
              <w:rPr>
                <w:rFonts w:ascii="Arial" w:hAnsi="Arial" w:cs="Arial"/>
                <w:sz w:val="18"/>
                <w:szCs w:val="18"/>
              </w:rPr>
            </w:pPr>
          </w:p>
        </w:tc>
        <w:tc>
          <w:tcPr>
            <w:tcW w:w="1531" w:type="dxa"/>
            <w:tcBorders>
              <w:top w:val="nil"/>
              <w:left w:val="nil"/>
              <w:bottom w:val="single" w:sz="4" w:space="0" w:color="auto"/>
              <w:right w:val="nil"/>
            </w:tcBorders>
            <w:vAlign w:val="bottom"/>
            <w:hideMark/>
          </w:tcPr>
          <w:p w14:paraId="1FE80984" w14:textId="29535C56" w:rsidR="008C676E" w:rsidRDefault="00FD35E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4.4</w:t>
            </w:r>
          </w:p>
        </w:tc>
        <w:tc>
          <w:tcPr>
            <w:tcW w:w="1531" w:type="dxa"/>
            <w:tcBorders>
              <w:top w:val="nil"/>
              <w:left w:val="nil"/>
              <w:bottom w:val="single" w:sz="4" w:space="0" w:color="auto"/>
              <w:right w:val="nil"/>
            </w:tcBorders>
            <w:vAlign w:val="bottom"/>
            <w:hideMark/>
          </w:tcPr>
          <w:p w14:paraId="23C1CC32"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4.4</w:t>
            </w:r>
          </w:p>
        </w:tc>
      </w:tr>
      <w:tr w:rsidR="008C676E" w14:paraId="32F80B50" w14:textId="77777777" w:rsidTr="008C676E">
        <w:trPr>
          <w:trHeight w:val="261"/>
        </w:trPr>
        <w:tc>
          <w:tcPr>
            <w:tcW w:w="5896" w:type="dxa"/>
            <w:tcBorders>
              <w:top w:val="single" w:sz="4" w:space="0" w:color="auto"/>
              <w:left w:val="nil"/>
              <w:bottom w:val="single" w:sz="4" w:space="0" w:color="auto"/>
              <w:right w:val="nil"/>
            </w:tcBorders>
            <w:noWrap/>
            <w:vAlign w:val="center"/>
            <w:hideMark/>
          </w:tcPr>
          <w:p w14:paraId="4D46CA13"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794" w:type="dxa"/>
            <w:tcBorders>
              <w:top w:val="single" w:sz="4" w:space="0" w:color="auto"/>
              <w:left w:val="nil"/>
              <w:bottom w:val="single" w:sz="4" w:space="0" w:color="auto"/>
              <w:right w:val="nil"/>
            </w:tcBorders>
            <w:vAlign w:val="center"/>
          </w:tcPr>
          <w:p w14:paraId="2FC31D96"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single" w:sz="4" w:space="0" w:color="auto"/>
              <w:right w:val="nil"/>
            </w:tcBorders>
            <w:vAlign w:val="bottom"/>
            <w:hideMark/>
          </w:tcPr>
          <w:p w14:paraId="6B52BF6F" w14:textId="7E0A1034"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38</w:t>
            </w:r>
            <w:r w:rsidR="00FD35E9">
              <w:rPr>
                <w:rFonts w:ascii="Arial" w:eastAsia="Times New Roman" w:hAnsi="Arial" w:cs="Arial"/>
                <w:b/>
                <w:bCs/>
                <w:sz w:val="18"/>
                <w:szCs w:val="18"/>
                <w:lang w:eastAsia="en-GB"/>
              </w:rPr>
              <w:t>3.1</w:t>
            </w:r>
          </w:p>
        </w:tc>
        <w:tc>
          <w:tcPr>
            <w:tcW w:w="1531" w:type="dxa"/>
            <w:tcBorders>
              <w:top w:val="single" w:sz="4" w:space="0" w:color="auto"/>
              <w:left w:val="nil"/>
              <w:bottom w:val="single" w:sz="4" w:space="0" w:color="auto"/>
              <w:right w:val="nil"/>
            </w:tcBorders>
            <w:vAlign w:val="bottom"/>
            <w:hideMark/>
          </w:tcPr>
          <w:p w14:paraId="6086EB26"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692.4</w:t>
            </w:r>
          </w:p>
        </w:tc>
      </w:tr>
      <w:tr w:rsidR="008C676E" w14:paraId="3ACA98BB" w14:textId="77777777" w:rsidTr="008C676E">
        <w:trPr>
          <w:trHeight w:val="261"/>
        </w:trPr>
        <w:tc>
          <w:tcPr>
            <w:tcW w:w="5896" w:type="dxa"/>
            <w:tcBorders>
              <w:top w:val="single" w:sz="4" w:space="0" w:color="auto"/>
              <w:left w:val="nil"/>
              <w:bottom w:val="nil"/>
              <w:right w:val="nil"/>
            </w:tcBorders>
            <w:noWrap/>
            <w:vAlign w:val="center"/>
            <w:hideMark/>
          </w:tcPr>
          <w:p w14:paraId="70D6D539"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Current assets</w:t>
            </w:r>
          </w:p>
        </w:tc>
        <w:tc>
          <w:tcPr>
            <w:tcW w:w="794" w:type="dxa"/>
            <w:tcBorders>
              <w:top w:val="single" w:sz="4" w:space="0" w:color="auto"/>
              <w:left w:val="nil"/>
              <w:bottom w:val="nil"/>
              <w:right w:val="nil"/>
            </w:tcBorders>
            <w:vAlign w:val="center"/>
          </w:tcPr>
          <w:p w14:paraId="7CBEF1C0"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nil"/>
              <w:right w:val="nil"/>
            </w:tcBorders>
            <w:vAlign w:val="bottom"/>
          </w:tcPr>
          <w:p w14:paraId="444D514E"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tcBorders>
              <w:top w:val="single" w:sz="4" w:space="0" w:color="auto"/>
              <w:left w:val="nil"/>
              <w:bottom w:val="nil"/>
              <w:right w:val="nil"/>
            </w:tcBorders>
            <w:vAlign w:val="bottom"/>
          </w:tcPr>
          <w:p w14:paraId="6534EF3B" w14:textId="77777777" w:rsidR="008C676E" w:rsidRDefault="008C676E">
            <w:pPr>
              <w:spacing w:after="0" w:line="240" w:lineRule="auto"/>
              <w:jc w:val="right"/>
              <w:rPr>
                <w:rFonts w:ascii="Arial" w:eastAsia="Times New Roman" w:hAnsi="Arial" w:cs="Arial"/>
                <w:sz w:val="18"/>
                <w:szCs w:val="18"/>
                <w:lang w:eastAsia="en-GB"/>
              </w:rPr>
            </w:pPr>
          </w:p>
        </w:tc>
      </w:tr>
      <w:tr w:rsidR="008C676E" w14:paraId="669D2B44" w14:textId="77777777" w:rsidTr="008C676E">
        <w:trPr>
          <w:trHeight w:val="261"/>
        </w:trPr>
        <w:tc>
          <w:tcPr>
            <w:tcW w:w="5896" w:type="dxa"/>
            <w:noWrap/>
            <w:vAlign w:val="center"/>
            <w:hideMark/>
          </w:tcPr>
          <w:p w14:paraId="0951FFCD"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Inventories</w:t>
            </w:r>
          </w:p>
        </w:tc>
        <w:tc>
          <w:tcPr>
            <w:tcW w:w="794" w:type="dxa"/>
            <w:vAlign w:val="center"/>
            <w:hideMark/>
          </w:tcPr>
          <w:p w14:paraId="29CF01FD" w14:textId="631C873C" w:rsidR="008C676E" w:rsidRDefault="008C676E">
            <w:pPr>
              <w:spacing w:after="0" w:line="240" w:lineRule="auto"/>
              <w:jc w:val="center"/>
              <w:rPr>
                <w:rFonts w:ascii="Arial" w:hAnsi="Arial" w:cs="Arial"/>
                <w:sz w:val="18"/>
                <w:szCs w:val="18"/>
              </w:rPr>
            </w:pPr>
          </w:p>
        </w:tc>
        <w:tc>
          <w:tcPr>
            <w:tcW w:w="1531" w:type="dxa"/>
            <w:vAlign w:val="bottom"/>
            <w:hideMark/>
          </w:tcPr>
          <w:p w14:paraId="058C0854"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9.7</w:t>
            </w:r>
          </w:p>
        </w:tc>
        <w:tc>
          <w:tcPr>
            <w:tcW w:w="1531" w:type="dxa"/>
            <w:vAlign w:val="bottom"/>
            <w:hideMark/>
          </w:tcPr>
          <w:p w14:paraId="68282194"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9.3</w:t>
            </w:r>
          </w:p>
        </w:tc>
      </w:tr>
      <w:tr w:rsidR="008C676E" w14:paraId="1693E83A" w14:textId="77777777" w:rsidTr="008C676E">
        <w:trPr>
          <w:trHeight w:val="261"/>
        </w:trPr>
        <w:tc>
          <w:tcPr>
            <w:tcW w:w="5896" w:type="dxa"/>
            <w:noWrap/>
            <w:vAlign w:val="center"/>
            <w:hideMark/>
          </w:tcPr>
          <w:p w14:paraId="3691BD40"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Trade and other receivables</w:t>
            </w:r>
          </w:p>
        </w:tc>
        <w:tc>
          <w:tcPr>
            <w:tcW w:w="794" w:type="dxa"/>
            <w:vAlign w:val="center"/>
            <w:hideMark/>
          </w:tcPr>
          <w:p w14:paraId="10160929" w14:textId="587CFBD0" w:rsidR="008C676E" w:rsidRDefault="005E386C">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1531" w:type="dxa"/>
            <w:vAlign w:val="bottom"/>
            <w:hideMark/>
          </w:tcPr>
          <w:p w14:paraId="386A1341"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98.0</w:t>
            </w:r>
          </w:p>
        </w:tc>
        <w:tc>
          <w:tcPr>
            <w:tcW w:w="1531" w:type="dxa"/>
            <w:vAlign w:val="bottom"/>
            <w:hideMark/>
          </w:tcPr>
          <w:p w14:paraId="587188A4"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116.4</w:t>
            </w:r>
          </w:p>
        </w:tc>
      </w:tr>
      <w:tr w:rsidR="008C676E" w14:paraId="0AF0B6BC" w14:textId="77777777" w:rsidTr="008C676E">
        <w:trPr>
          <w:trHeight w:val="261"/>
        </w:trPr>
        <w:tc>
          <w:tcPr>
            <w:tcW w:w="5896" w:type="dxa"/>
            <w:noWrap/>
            <w:vAlign w:val="center"/>
            <w:hideMark/>
          </w:tcPr>
          <w:p w14:paraId="4340BB15"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Cash and cash equivalents</w:t>
            </w:r>
          </w:p>
        </w:tc>
        <w:tc>
          <w:tcPr>
            <w:tcW w:w="794" w:type="dxa"/>
            <w:vAlign w:val="center"/>
          </w:tcPr>
          <w:p w14:paraId="2555EF72" w14:textId="77777777" w:rsidR="008C676E" w:rsidRDefault="008C676E">
            <w:pPr>
              <w:spacing w:after="0" w:line="240" w:lineRule="auto"/>
              <w:jc w:val="center"/>
              <w:rPr>
                <w:rFonts w:ascii="Arial" w:hAnsi="Arial" w:cs="Arial"/>
                <w:sz w:val="18"/>
                <w:szCs w:val="18"/>
              </w:rPr>
            </w:pPr>
          </w:p>
        </w:tc>
        <w:tc>
          <w:tcPr>
            <w:tcW w:w="1531" w:type="dxa"/>
            <w:vAlign w:val="bottom"/>
            <w:hideMark/>
          </w:tcPr>
          <w:p w14:paraId="6CCFA195"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1531" w:type="dxa"/>
            <w:vAlign w:val="bottom"/>
            <w:hideMark/>
          </w:tcPr>
          <w:p w14:paraId="7476C1AB"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30.2</w:t>
            </w:r>
          </w:p>
        </w:tc>
      </w:tr>
      <w:tr w:rsidR="008C676E" w14:paraId="2E280673" w14:textId="77777777" w:rsidTr="008C676E">
        <w:trPr>
          <w:trHeight w:val="261"/>
        </w:trPr>
        <w:tc>
          <w:tcPr>
            <w:tcW w:w="5896" w:type="dxa"/>
            <w:noWrap/>
            <w:vAlign w:val="center"/>
            <w:hideMark/>
          </w:tcPr>
          <w:p w14:paraId="4F9EF647" w14:textId="77777777" w:rsidR="008C676E" w:rsidRDefault="008C676E">
            <w:pPr>
              <w:spacing w:after="0" w:line="240" w:lineRule="auto"/>
              <w:rPr>
                <w:rFonts w:ascii="Arial" w:hAnsi="Arial" w:cs="Arial"/>
                <w:sz w:val="18"/>
                <w:szCs w:val="18"/>
              </w:rPr>
            </w:pPr>
            <w:r>
              <w:rPr>
                <w:rFonts w:ascii="Arial" w:hAnsi="Arial" w:cs="Arial"/>
                <w:sz w:val="18"/>
                <w:szCs w:val="18"/>
              </w:rPr>
              <w:t>Current tax asset</w:t>
            </w:r>
          </w:p>
        </w:tc>
        <w:tc>
          <w:tcPr>
            <w:tcW w:w="794" w:type="dxa"/>
            <w:vAlign w:val="center"/>
          </w:tcPr>
          <w:p w14:paraId="205AF389" w14:textId="77777777" w:rsidR="008C676E" w:rsidRDefault="008C676E">
            <w:pPr>
              <w:spacing w:after="0" w:line="240" w:lineRule="auto"/>
              <w:jc w:val="center"/>
              <w:rPr>
                <w:rFonts w:ascii="Arial" w:hAnsi="Arial" w:cs="Arial"/>
                <w:sz w:val="18"/>
                <w:szCs w:val="18"/>
              </w:rPr>
            </w:pPr>
          </w:p>
        </w:tc>
        <w:tc>
          <w:tcPr>
            <w:tcW w:w="1531" w:type="dxa"/>
            <w:vAlign w:val="bottom"/>
            <w:hideMark/>
          </w:tcPr>
          <w:p w14:paraId="5C3D9E44" w14:textId="4DD52D6F" w:rsidR="008C676E" w:rsidRDefault="00D559E2">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1.3</w:t>
            </w:r>
          </w:p>
        </w:tc>
        <w:tc>
          <w:tcPr>
            <w:tcW w:w="1531" w:type="dxa"/>
            <w:vAlign w:val="bottom"/>
            <w:hideMark/>
          </w:tcPr>
          <w:p w14:paraId="42ED8C31"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1.8</w:t>
            </w:r>
          </w:p>
        </w:tc>
      </w:tr>
      <w:tr w:rsidR="008C676E" w14:paraId="4593EED0" w14:textId="77777777" w:rsidTr="008C676E">
        <w:trPr>
          <w:trHeight w:val="261"/>
        </w:trPr>
        <w:tc>
          <w:tcPr>
            <w:tcW w:w="5896" w:type="dxa"/>
            <w:noWrap/>
            <w:vAlign w:val="center"/>
            <w:hideMark/>
          </w:tcPr>
          <w:p w14:paraId="508C2AAA" w14:textId="77777777" w:rsidR="008C676E" w:rsidRDefault="008C676E">
            <w:pPr>
              <w:spacing w:after="0" w:line="240" w:lineRule="auto"/>
              <w:rPr>
                <w:rFonts w:ascii="Arial" w:hAnsi="Arial" w:cs="Arial"/>
                <w:sz w:val="18"/>
                <w:szCs w:val="18"/>
              </w:rPr>
            </w:pPr>
            <w:r>
              <w:rPr>
                <w:rFonts w:ascii="Arial" w:hAnsi="Arial" w:cs="Arial"/>
                <w:sz w:val="18"/>
                <w:szCs w:val="18"/>
              </w:rPr>
              <w:t>Assets classified as held for sale</w:t>
            </w:r>
          </w:p>
        </w:tc>
        <w:tc>
          <w:tcPr>
            <w:tcW w:w="794" w:type="dxa"/>
            <w:vAlign w:val="center"/>
            <w:hideMark/>
          </w:tcPr>
          <w:p w14:paraId="2C4DA123" w14:textId="063CD11F" w:rsidR="008C676E" w:rsidRDefault="008C676E">
            <w:pPr>
              <w:spacing w:after="0" w:line="240" w:lineRule="auto"/>
              <w:jc w:val="center"/>
              <w:rPr>
                <w:rFonts w:ascii="Arial" w:hAnsi="Arial" w:cs="Arial"/>
                <w:sz w:val="18"/>
                <w:szCs w:val="18"/>
              </w:rPr>
            </w:pPr>
          </w:p>
        </w:tc>
        <w:tc>
          <w:tcPr>
            <w:tcW w:w="1531" w:type="dxa"/>
            <w:vAlign w:val="bottom"/>
            <w:hideMark/>
          </w:tcPr>
          <w:p w14:paraId="392B8C57"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398.2</w:t>
            </w:r>
          </w:p>
        </w:tc>
        <w:tc>
          <w:tcPr>
            <w:tcW w:w="1531" w:type="dxa"/>
            <w:vAlign w:val="bottom"/>
            <w:hideMark/>
          </w:tcPr>
          <w:p w14:paraId="56B3AA2A"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1.3</w:t>
            </w:r>
          </w:p>
        </w:tc>
      </w:tr>
      <w:tr w:rsidR="008C676E" w14:paraId="72250E61" w14:textId="77777777" w:rsidTr="008C676E">
        <w:trPr>
          <w:trHeight w:val="261"/>
        </w:trPr>
        <w:tc>
          <w:tcPr>
            <w:tcW w:w="5896" w:type="dxa"/>
            <w:tcBorders>
              <w:top w:val="single" w:sz="4" w:space="0" w:color="auto"/>
              <w:left w:val="nil"/>
              <w:bottom w:val="single" w:sz="4" w:space="0" w:color="auto"/>
              <w:right w:val="nil"/>
            </w:tcBorders>
            <w:noWrap/>
            <w:vAlign w:val="center"/>
            <w:hideMark/>
          </w:tcPr>
          <w:p w14:paraId="573D8E6F"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Total current assets</w:t>
            </w:r>
          </w:p>
        </w:tc>
        <w:tc>
          <w:tcPr>
            <w:tcW w:w="794" w:type="dxa"/>
            <w:tcBorders>
              <w:top w:val="single" w:sz="4" w:space="0" w:color="auto"/>
              <w:left w:val="nil"/>
              <w:bottom w:val="single" w:sz="4" w:space="0" w:color="auto"/>
              <w:right w:val="nil"/>
            </w:tcBorders>
            <w:vAlign w:val="center"/>
          </w:tcPr>
          <w:p w14:paraId="6F8E0F3D" w14:textId="77777777" w:rsidR="008C676E" w:rsidRDefault="008C676E">
            <w:pPr>
              <w:spacing w:after="0" w:line="240" w:lineRule="auto"/>
              <w:jc w:val="center"/>
              <w:rPr>
                <w:rFonts w:ascii="Arial" w:hAnsi="Arial" w:cs="Arial"/>
                <w:sz w:val="18"/>
                <w:szCs w:val="18"/>
              </w:rPr>
            </w:pPr>
          </w:p>
        </w:tc>
        <w:tc>
          <w:tcPr>
            <w:tcW w:w="1531" w:type="dxa"/>
            <w:tcBorders>
              <w:top w:val="single" w:sz="4" w:space="0" w:color="auto"/>
              <w:left w:val="nil"/>
              <w:bottom w:val="single" w:sz="4" w:space="0" w:color="auto"/>
              <w:right w:val="nil"/>
            </w:tcBorders>
            <w:vAlign w:val="bottom"/>
            <w:hideMark/>
          </w:tcPr>
          <w:p w14:paraId="37EB8BF9" w14:textId="662F44E9"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50</w:t>
            </w:r>
            <w:r w:rsidR="00D559E2">
              <w:rPr>
                <w:rFonts w:ascii="Arial" w:eastAsia="Times New Roman" w:hAnsi="Arial" w:cs="Arial"/>
                <w:b/>
                <w:bCs/>
                <w:sz w:val="18"/>
                <w:szCs w:val="18"/>
                <w:lang w:eastAsia="en-GB"/>
              </w:rPr>
              <w:t>7.2</w:t>
            </w:r>
          </w:p>
        </w:tc>
        <w:tc>
          <w:tcPr>
            <w:tcW w:w="1531" w:type="dxa"/>
            <w:tcBorders>
              <w:top w:val="single" w:sz="4" w:space="0" w:color="auto"/>
              <w:left w:val="nil"/>
              <w:bottom w:val="single" w:sz="4" w:space="0" w:color="auto"/>
              <w:right w:val="nil"/>
            </w:tcBorders>
            <w:vAlign w:val="bottom"/>
            <w:hideMark/>
          </w:tcPr>
          <w:p w14:paraId="6265B030"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159.0</w:t>
            </w:r>
          </w:p>
        </w:tc>
      </w:tr>
      <w:tr w:rsidR="008C676E" w14:paraId="248BAF15" w14:textId="77777777" w:rsidTr="008C676E">
        <w:trPr>
          <w:trHeight w:val="261"/>
        </w:trPr>
        <w:tc>
          <w:tcPr>
            <w:tcW w:w="5896" w:type="dxa"/>
            <w:tcBorders>
              <w:top w:val="single" w:sz="4" w:space="0" w:color="auto"/>
              <w:left w:val="nil"/>
              <w:bottom w:val="single" w:sz="4" w:space="0" w:color="auto"/>
              <w:right w:val="nil"/>
            </w:tcBorders>
            <w:noWrap/>
            <w:vAlign w:val="center"/>
          </w:tcPr>
          <w:p w14:paraId="12A5A37D" w14:textId="77777777" w:rsidR="008C676E" w:rsidRDefault="008C676E">
            <w:pPr>
              <w:spacing w:after="0" w:line="240" w:lineRule="auto"/>
              <w:rPr>
                <w:rFonts w:ascii="Arial" w:eastAsia="Times New Roman" w:hAnsi="Arial" w:cs="Arial"/>
                <w:sz w:val="18"/>
                <w:szCs w:val="18"/>
                <w:lang w:eastAsia="en-GB"/>
              </w:rPr>
            </w:pPr>
          </w:p>
        </w:tc>
        <w:tc>
          <w:tcPr>
            <w:tcW w:w="794" w:type="dxa"/>
            <w:tcBorders>
              <w:top w:val="single" w:sz="4" w:space="0" w:color="auto"/>
              <w:left w:val="nil"/>
              <w:bottom w:val="single" w:sz="4" w:space="0" w:color="auto"/>
              <w:right w:val="nil"/>
            </w:tcBorders>
            <w:vAlign w:val="center"/>
          </w:tcPr>
          <w:p w14:paraId="777DBCD0" w14:textId="77777777" w:rsidR="008C676E" w:rsidRDefault="008C676E">
            <w:pPr>
              <w:spacing w:after="0" w:line="240" w:lineRule="auto"/>
              <w:jc w:val="center"/>
              <w:rPr>
                <w:rFonts w:ascii="Arial" w:hAnsi="Arial" w:cs="Arial"/>
                <w:sz w:val="18"/>
                <w:szCs w:val="18"/>
              </w:rPr>
            </w:pPr>
          </w:p>
        </w:tc>
        <w:tc>
          <w:tcPr>
            <w:tcW w:w="1531" w:type="dxa"/>
            <w:tcBorders>
              <w:top w:val="single" w:sz="4" w:space="0" w:color="auto"/>
              <w:left w:val="nil"/>
              <w:bottom w:val="single" w:sz="4" w:space="0" w:color="auto"/>
              <w:right w:val="nil"/>
            </w:tcBorders>
            <w:vAlign w:val="bottom"/>
          </w:tcPr>
          <w:p w14:paraId="2DC15F90"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tcBorders>
              <w:top w:val="single" w:sz="4" w:space="0" w:color="auto"/>
              <w:left w:val="nil"/>
              <w:bottom w:val="single" w:sz="4" w:space="0" w:color="auto"/>
              <w:right w:val="nil"/>
            </w:tcBorders>
            <w:vAlign w:val="bottom"/>
          </w:tcPr>
          <w:p w14:paraId="6E7BF5A5" w14:textId="77777777" w:rsidR="008C676E" w:rsidRDefault="008C676E">
            <w:pPr>
              <w:spacing w:after="0" w:line="240" w:lineRule="auto"/>
              <w:jc w:val="right"/>
              <w:rPr>
                <w:rFonts w:ascii="Arial" w:eastAsia="Times New Roman" w:hAnsi="Arial" w:cs="Arial"/>
                <w:sz w:val="18"/>
                <w:szCs w:val="18"/>
                <w:lang w:eastAsia="en-GB"/>
              </w:rPr>
            </w:pPr>
          </w:p>
        </w:tc>
      </w:tr>
      <w:tr w:rsidR="008C676E" w14:paraId="6D3EFD0F" w14:textId="77777777" w:rsidTr="008C676E">
        <w:trPr>
          <w:trHeight w:val="261"/>
        </w:trPr>
        <w:tc>
          <w:tcPr>
            <w:tcW w:w="5896" w:type="dxa"/>
            <w:tcBorders>
              <w:top w:val="single" w:sz="4" w:space="0" w:color="auto"/>
              <w:left w:val="nil"/>
              <w:bottom w:val="single" w:sz="4" w:space="0" w:color="auto"/>
              <w:right w:val="nil"/>
            </w:tcBorders>
            <w:noWrap/>
            <w:vAlign w:val="center"/>
            <w:hideMark/>
          </w:tcPr>
          <w:p w14:paraId="1DC88116"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Total assets</w:t>
            </w:r>
          </w:p>
        </w:tc>
        <w:tc>
          <w:tcPr>
            <w:tcW w:w="794" w:type="dxa"/>
            <w:tcBorders>
              <w:top w:val="single" w:sz="4" w:space="0" w:color="auto"/>
              <w:left w:val="nil"/>
              <w:bottom w:val="single" w:sz="4" w:space="0" w:color="auto"/>
              <w:right w:val="nil"/>
            </w:tcBorders>
            <w:vAlign w:val="center"/>
          </w:tcPr>
          <w:p w14:paraId="300CF545"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single" w:sz="4" w:space="0" w:color="auto"/>
              <w:right w:val="nil"/>
            </w:tcBorders>
            <w:vAlign w:val="bottom"/>
            <w:hideMark/>
          </w:tcPr>
          <w:p w14:paraId="7C2A2E75" w14:textId="3E7396C1"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89</w:t>
            </w:r>
            <w:r w:rsidR="00FD35E9">
              <w:rPr>
                <w:rFonts w:ascii="Arial" w:eastAsia="Times New Roman" w:hAnsi="Arial" w:cs="Arial"/>
                <w:b/>
                <w:bCs/>
                <w:sz w:val="18"/>
                <w:szCs w:val="18"/>
                <w:lang w:eastAsia="en-GB"/>
              </w:rPr>
              <w:t>0.3</w:t>
            </w:r>
          </w:p>
        </w:tc>
        <w:tc>
          <w:tcPr>
            <w:tcW w:w="1531" w:type="dxa"/>
            <w:tcBorders>
              <w:top w:val="single" w:sz="4" w:space="0" w:color="auto"/>
              <w:left w:val="nil"/>
              <w:bottom w:val="single" w:sz="4" w:space="0" w:color="auto"/>
              <w:right w:val="nil"/>
            </w:tcBorders>
            <w:vAlign w:val="bottom"/>
            <w:hideMark/>
          </w:tcPr>
          <w:p w14:paraId="794528E6"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851.4</w:t>
            </w:r>
          </w:p>
        </w:tc>
      </w:tr>
      <w:tr w:rsidR="008C676E" w14:paraId="37E8F28C" w14:textId="77777777" w:rsidTr="008C676E">
        <w:trPr>
          <w:trHeight w:val="261"/>
        </w:trPr>
        <w:tc>
          <w:tcPr>
            <w:tcW w:w="5896" w:type="dxa"/>
            <w:noWrap/>
            <w:vAlign w:val="center"/>
          </w:tcPr>
          <w:p w14:paraId="247F0BE2" w14:textId="77777777" w:rsidR="008C676E" w:rsidRDefault="008C676E">
            <w:pPr>
              <w:spacing w:after="0" w:line="240" w:lineRule="auto"/>
              <w:rPr>
                <w:rFonts w:ascii="Arial" w:eastAsia="Times New Roman" w:hAnsi="Arial" w:cs="Arial"/>
                <w:sz w:val="18"/>
                <w:szCs w:val="18"/>
                <w:lang w:eastAsia="en-GB"/>
              </w:rPr>
            </w:pPr>
          </w:p>
        </w:tc>
        <w:tc>
          <w:tcPr>
            <w:tcW w:w="794" w:type="dxa"/>
            <w:vAlign w:val="center"/>
          </w:tcPr>
          <w:p w14:paraId="38F79214"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vAlign w:val="bottom"/>
          </w:tcPr>
          <w:p w14:paraId="0CABCCDB"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vAlign w:val="bottom"/>
          </w:tcPr>
          <w:p w14:paraId="35DE9AE4" w14:textId="77777777" w:rsidR="008C676E" w:rsidRDefault="008C676E">
            <w:pPr>
              <w:spacing w:after="0" w:line="240" w:lineRule="auto"/>
              <w:jc w:val="right"/>
              <w:rPr>
                <w:rFonts w:ascii="Arial" w:eastAsia="Times New Roman" w:hAnsi="Arial" w:cs="Arial"/>
                <w:sz w:val="18"/>
                <w:szCs w:val="18"/>
                <w:lang w:eastAsia="en-GB"/>
              </w:rPr>
            </w:pPr>
          </w:p>
        </w:tc>
      </w:tr>
      <w:tr w:rsidR="008C676E" w14:paraId="16FC593E" w14:textId="77777777" w:rsidTr="008C676E">
        <w:trPr>
          <w:trHeight w:val="261"/>
        </w:trPr>
        <w:tc>
          <w:tcPr>
            <w:tcW w:w="5896" w:type="dxa"/>
            <w:noWrap/>
            <w:vAlign w:val="center"/>
            <w:hideMark/>
          </w:tcPr>
          <w:p w14:paraId="7EADB6E7"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LIABILITIES</w:t>
            </w:r>
          </w:p>
        </w:tc>
        <w:tc>
          <w:tcPr>
            <w:tcW w:w="794" w:type="dxa"/>
            <w:vAlign w:val="center"/>
          </w:tcPr>
          <w:p w14:paraId="694EB826"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vAlign w:val="bottom"/>
          </w:tcPr>
          <w:p w14:paraId="0BFB69F1"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vAlign w:val="bottom"/>
          </w:tcPr>
          <w:p w14:paraId="471BF7C0" w14:textId="77777777" w:rsidR="008C676E" w:rsidRDefault="008C676E">
            <w:pPr>
              <w:spacing w:after="0" w:line="240" w:lineRule="auto"/>
              <w:jc w:val="right"/>
              <w:rPr>
                <w:rFonts w:ascii="Arial" w:eastAsia="Times New Roman" w:hAnsi="Arial" w:cs="Arial"/>
                <w:sz w:val="18"/>
                <w:szCs w:val="18"/>
                <w:lang w:eastAsia="en-GB"/>
              </w:rPr>
            </w:pPr>
          </w:p>
        </w:tc>
      </w:tr>
      <w:tr w:rsidR="008C676E" w14:paraId="49F9C24C" w14:textId="77777777" w:rsidTr="008C676E">
        <w:trPr>
          <w:trHeight w:val="261"/>
        </w:trPr>
        <w:tc>
          <w:tcPr>
            <w:tcW w:w="5896" w:type="dxa"/>
            <w:noWrap/>
            <w:vAlign w:val="center"/>
            <w:hideMark/>
          </w:tcPr>
          <w:p w14:paraId="69F866DA"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Current liabilities</w:t>
            </w:r>
          </w:p>
        </w:tc>
        <w:tc>
          <w:tcPr>
            <w:tcW w:w="794" w:type="dxa"/>
            <w:vAlign w:val="center"/>
          </w:tcPr>
          <w:p w14:paraId="798EB666"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vAlign w:val="bottom"/>
          </w:tcPr>
          <w:p w14:paraId="72F854E6"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vAlign w:val="bottom"/>
          </w:tcPr>
          <w:p w14:paraId="3BDDE07C" w14:textId="77777777" w:rsidR="008C676E" w:rsidRDefault="008C676E">
            <w:pPr>
              <w:spacing w:after="0" w:line="240" w:lineRule="auto"/>
              <w:jc w:val="right"/>
              <w:rPr>
                <w:rFonts w:ascii="Arial" w:eastAsia="Times New Roman" w:hAnsi="Arial" w:cs="Arial"/>
                <w:sz w:val="18"/>
                <w:szCs w:val="18"/>
                <w:lang w:eastAsia="en-GB"/>
              </w:rPr>
            </w:pPr>
          </w:p>
        </w:tc>
      </w:tr>
      <w:tr w:rsidR="008C676E" w14:paraId="0BBD48F4" w14:textId="77777777" w:rsidTr="008C676E">
        <w:trPr>
          <w:trHeight w:val="261"/>
        </w:trPr>
        <w:tc>
          <w:tcPr>
            <w:tcW w:w="5896" w:type="dxa"/>
            <w:noWrap/>
            <w:vAlign w:val="center"/>
            <w:hideMark/>
          </w:tcPr>
          <w:p w14:paraId="0D9FC1DE"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Trade and other payables</w:t>
            </w:r>
          </w:p>
        </w:tc>
        <w:tc>
          <w:tcPr>
            <w:tcW w:w="794" w:type="dxa"/>
            <w:vAlign w:val="center"/>
            <w:hideMark/>
          </w:tcPr>
          <w:p w14:paraId="44DD1679" w14:textId="736B4A78" w:rsidR="008C676E" w:rsidRDefault="005E386C">
            <w:pPr>
              <w:spacing w:after="0" w:line="240" w:lineRule="auto"/>
              <w:jc w:val="center"/>
              <w:rPr>
                <w:rFonts w:ascii="Arial" w:eastAsia="Times New Roman" w:hAnsi="Arial" w:cs="Arial"/>
                <w:sz w:val="18"/>
                <w:szCs w:val="18"/>
                <w:lang w:eastAsia="en-GB"/>
              </w:rPr>
            </w:pPr>
            <w:r>
              <w:rPr>
                <w:rFonts w:ascii="Arial" w:hAnsi="Arial" w:cs="Arial"/>
                <w:sz w:val="18"/>
                <w:szCs w:val="18"/>
              </w:rPr>
              <w:t>9</w:t>
            </w:r>
          </w:p>
        </w:tc>
        <w:tc>
          <w:tcPr>
            <w:tcW w:w="1531" w:type="dxa"/>
            <w:vAlign w:val="bottom"/>
            <w:hideMark/>
          </w:tcPr>
          <w:p w14:paraId="70B3FBF7"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b/>
                <w:bCs/>
                <w:sz w:val="18"/>
                <w:szCs w:val="18"/>
                <w:lang w:eastAsia="en-GB"/>
              </w:rPr>
              <w:t>(83.5)</w:t>
            </w:r>
          </w:p>
        </w:tc>
        <w:tc>
          <w:tcPr>
            <w:tcW w:w="1531" w:type="dxa"/>
            <w:vAlign w:val="bottom"/>
            <w:hideMark/>
          </w:tcPr>
          <w:p w14:paraId="43D63508"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(123.2)</w:t>
            </w:r>
          </w:p>
        </w:tc>
      </w:tr>
      <w:tr w:rsidR="008C676E" w14:paraId="6C3FC293" w14:textId="77777777" w:rsidTr="008C676E">
        <w:trPr>
          <w:trHeight w:val="261"/>
        </w:trPr>
        <w:tc>
          <w:tcPr>
            <w:tcW w:w="5896" w:type="dxa"/>
            <w:noWrap/>
            <w:vAlign w:val="center"/>
            <w:hideMark/>
          </w:tcPr>
          <w:p w14:paraId="77A47255"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Financial liabilities - bank overdrafts</w:t>
            </w:r>
          </w:p>
        </w:tc>
        <w:tc>
          <w:tcPr>
            <w:tcW w:w="794" w:type="dxa"/>
            <w:vAlign w:val="center"/>
            <w:hideMark/>
          </w:tcPr>
          <w:p w14:paraId="7AC321D5" w14:textId="7614CE0F" w:rsidR="008C676E" w:rsidRDefault="005E386C">
            <w:pPr>
              <w:spacing w:after="0" w:line="240" w:lineRule="auto"/>
              <w:jc w:val="center"/>
              <w:rPr>
                <w:rFonts w:ascii="Arial" w:hAnsi="Arial" w:cs="Arial"/>
                <w:sz w:val="18"/>
                <w:szCs w:val="18"/>
              </w:rPr>
            </w:pPr>
            <w:r>
              <w:rPr>
                <w:rFonts w:ascii="Arial" w:eastAsia="Times New Roman" w:hAnsi="Arial" w:cs="Arial"/>
                <w:sz w:val="18"/>
                <w:szCs w:val="18"/>
                <w:lang w:eastAsia="en-GB"/>
              </w:rPr>
              <w:t>10</w:t>
            </w:r>
          </w:p>
        </w:tc>
        <w:tc>
          <w:tcPr>
            <w:tcW w:w="1531" w:type="dxa"/>
            <w:vAlign w:val="bottom"/>
            <w:hideMark/>
          </w:tcPr>
          <w:p w14:paraId="2AF5EB6E"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(25.8)</w:t>
            </w:r>
          </w:p>
        </w:tc>
        <w:tc>
          <w:tcPr>
            <w:tcW w:w="1531" w:type="dxa"/>
            <w:vAlign w:val="bottom"/>
            <w:hideMark/>
          </w:tcPr>
          <w:p w14:paraId="3755A8F6"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8C676E" w14:paraId="0D1CB7CF" w14:textId="77777777" w:rsidTr="008C676E">
        <w:trPr>
          <w:trHeight w:val="261"/>
        </w:trPr>
        <w:tc>
          <w:tcPr>
            <w:tcW w:w="5896" w:type="dxa"/>
            <w:noWrap/>
            <w:vAlign w:val="center"/>
            <w:hideMark/>
          </w:tcPr>
          <w:p w14:paraId="6518801B" w14:textId="77777777" w:rsidR="008C676E" w:rsidRDefault="008C676E">
            <w:pPr>
              <w:spacing w:after="0" w:line="240" w:lineRule="auto"/>
              <w:rPr>
                <w:rFonts w:ascii="Arial" w:hAnsi="Arial" w:cs="Arial"/>
                <w:sz w:val="18"/>
                <w:szCs w:val="18"/>
              </w:rPr>
            </w:pPr>
            <w:r>
              <w:rPr>
                <w:rFonts w:ascii="Arial" w:hAnsi="Arial" w:cs="Arial"/>
                <w:sz w:val="18"/>
                <w:szCs w:val="18"/>
              </w:rPr>
              <w:t>Financial liabilities - borrowings</w:t>
            </w:r>
          </w:p>
        </w:tc>
        <w:tc>
          <w:tcPr>
            <w:tcW w:w="794" w:type="dxa"/>
            <w:vAlign w:val="center"/>
            <w:hideMark/>
          </w:tcPr>
          <w:p w14:paraId="77F76BA4" w14:textId="17320804" w:rsidR="008C676E" w:rsidRDefault="005E386C">
            <w:pPr>
              <w:spacing w:after="0" w:line="240" w:lineRule="auto"/>
              <w:jc w:val="center"/>
              <w:rPr>
                <w:rFonts w:ascii="Arial" w:hAnsi="Arial" w:cs="Arial"/>
                <w:sz w:val="18"/>
                <w:szCs w:val="18"/>
              </w:rPr>
            </w:pPr>
            <w:r>
              <w:rPr>
                <w:rFonts w:ascii="Arial" w:hAnsi="Arial" w:cs="Arial"/>
                <w:sz w:val="18"/>
                <w:szCs w:val="18"/>
              </w:rPr>
              <w:t>10</w:t>
            </w:r>
          </w:p>
        </w:tc>
        <w:tc>
          <w:tcPr>
            <w:tcW w:w="1531" w:type="dxa"/>
            <w:vAlign w:val="bottom"/>
            <w:hideMark/>
          </w:tcPr>
          <w:p w14:paraId="69E958A1"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(206.0)</w:t>
            </w:r>
          </w:p>
        </w:tc>
        <w:tc>
          <w:tcPr>
            <w:tcW w:w="1531" w:type="dxa"/>
            <w:vAlign w:val="bottom"/>
            <w:hideMark/>
          </w:tcPr>
          <w:p w14:paraId="37FA019D"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8C676E" w14:paraId="224FF1D5" w14:textId="77777777" w:rsidTr="008C676E">
        <w:trPr>
          <w:trHeight w:val="261"/>
        </w:trPr>
        <w:tc>
          <w:tcPr>
            <w:tcW w:w="5896" w:type="dxa"/>
            <w:noWrap/>
            <w:vAlign w:val="center"/>
            <w:hideMark/>
          </w:tcPr>
          <w:p w14:paraId="21C43686"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Financial liabilities - lease liabilities</w:t>
            </w:r>
          </w:p>
        </w:tc>
        <w:tc>
          <w:tcPr>
            <w:tcW w:w="794" w:type="dxa"/>
            <w:vAlign w:val="center"/>
            <w:hideMark/>
          </w:tcPr>
          <w:p w14:paraId="7F6C809A" w14:textId="756A50F3" w:rsidR="008C676E" w:rsidRDefault="005E386C">
            <w:pPr>
              <w:spacing w:after="0" w:line="240" w:lineRule="auto"/>
              <w:jc w:val="center"/>
              <w:rPr>
                <w:rFonts w:ascii="Arial" w:hAnsi="Arial" w:cs="Arial"/>
                <w:sz w:val="18"/>
                <w:szCs w:val="18"/>
              </w:rPr>
            </w:pPr>
            <w:r>
              <w:rPr>
                <w:rFonts w:ascii="Arial" w:hAnsi="Arial" w:cs="Arial"/>
                <w:sz w:val="18"/>
                <w:szCs w:val="18"/>
              </w:rPr>
              <w:t>10</w:t>
            </w:r>
          </w:p>
        </w:tc>
        <w:tc>
          <w:tcPr>
            <w:tcW w:w="1531" w:type="dxa"/>
            <w:vAlign w:val="bottom"/>
            <w:hideMark/>
          </w:tcPr>
          <w:p w14:paraId="008E908E"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(9.4)</w:t>
            </w:r>
          </w:p>
        </w:tc>
        <w:tc>
          <w:tcPr>
            <w:tcW w:w="1531" w:type="dxa"/>
            <w:vAlign w:val="bottom"/>
            <w:hideMark/>
          </w:tcPr>
          <w:p w14:paraId="784C4DC2"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(9.7)</w:t>
            </w:r>
          </w:p>
        </w:tc>
      </w:tr>
      <w:tr w:rsidR="008C676E" w14:paraId="4FCCC4F9" w14:textId="77777777" w:rsidTr="008C676E">
        <w:trPr>
          <w:trHeight w:val="261"/>
        </w:trPr>
        <w:tc>
          <w:tcPr>
            <w:tcW w:w="5896" w:type="dxa"/>
            <w:noWrap/>
            <w:vAlign w:val="center"/>
            <w:hideMark/>
          </w:tcPr>
          <w:p w14:paraId="6FFD3C09" w14:textId="77777777" w:rsidR="008C676E" w:rsidRDefault="008C676E">
            <w:pPr>
              <w:spacing w:after="0" w:line="240" w:lineRule="auto"/>
              <w:rPr>
                <w:rFonts w:ascii="Arial" w:hAnsi="Arial" w:cs="Arial"/>
                <w:sz w:val="18"/>
                <w:szCs w:val="18"/>
              </w:rPr>
            </w:pPr>
            <w:r>
              <w:rPr>
                <w:rFonts w:ascii="Arial" w:hAnsi="Arial" w:cs="Arial"/>
                <w:sz w:val="18"/>
                <w:szCs w:val="18"/>
              </w:rPr>
              <w:t>Provisions</w:t>
            </w:r>
          </w:p>
        </w:tc>
        <w:tc>
          <w:tcPr>
            <w:tcW w:w="794" w:type="dxa"/>
            <w:vAlign w:val="center"/>
            <w:hideMark/>
          </w:tcPr>
          <w:p w14:paraId="60F5264B" w14:textId="0AB06FC5" w:rsidR="008C676E" w:rsidRDefault="008C676E">
            <w:pPr>
              <w:spacing w:after="0" w:line="240" w:lineRule="auto"/>
              <w:jc w:val="center"/>
              <w:rPr>
                <w:rFonts w:ascii="Arial" w:hAnsi="Arial" w:cs="Arial"/>
                <w:sz w:val="18"/>
                <w:szCs w:val="18"/>
              </w:rPr>
            </w:pPr>
          </w:p>
        </w:tc>
        <w:tc>
          <w:tcPr>
            <w:tcW w:w="1531" w:type="dxa"/>
            <w:vAlign w:val="bottom"/>
            <w:hideMark/>
          </w:tcPr>
          <w:p w14:paraId="37CB035B"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(1.2)</w:t>
            </w:r>
          </w:p>
        </w:tc>
        <w:tc>
          <w:tcPr>
            <w:tcW w:w="1531" w:type="dxa"/>
            <w:vAlign w:val="bottom"/>
            <w:hideMark/>
          </w:tcPr>
          <w:p w14:paraId="024C9A6C"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w:t>
            </w:r>
          </w:p>
        </w:tc>
      </w:tr>
      <w:tr w:rsidR="008C676E" w14:paraId="6114C02D" w14:textId="77777777" w:rsidTr="008C676E">
        <w:trPr>
          <w:trHeight w:val="261"/>
        </w:trPr>
        <w:tc>
          <w:tcPr>
            <w:tcW w:w="5896" w:type="dxa"/>
            <w:tcBorders>
              <w:top w:val="nil"/>
              <w:left w:val="nil"/>
              <w:bottom w:val="single" w:sz="4" w:space="0" w:color="auto"/>
              <w:right w:val="nil"/>
            </w:tcBorders>
            <w:noWrap/>
            <w:vAlign w:val="center"/>
            <w:hideMark/>
          </w:tcPr>
          <w:p w14:paraId="7DAD76F2" w14:textId="77777777" w:rsidR="008C676E" w:rsidRDefault="008C676E">
            <w:pPr>
              <w:spacing w:after="0" w:line="240" w:lineRule="auto"/>
              <w:rPr>
                <w:rFonts w:ascii="Arial" w:hAnsi="Arial" w:cs="Arial"/>
                <w:sz w:val="18"/>
                <w:szCs w:val="18"/>
              </w:rPr>
            </w:pPr>
            <w:r>
              <w:rPr>
                <w:rFonts w:ascii="Arial" w:hAnsi="Arial" w:cs="Arial"/>
                <w:sz w:val="18"/>
                <w:szCs w:val="18"/>
              </w:rPr>
              <w:t>Liabilities directly associated with assets classified as held for sale</w:t>
            </w:r>
          </w:p>
        </w:tc>
        <w:tc>
          <w:tcPr>
            <w:tcW w:w="794" w:type="dxa"/>
            <w:tcBorders>
              <w:top w:val="nil"/>
              <w:left w:val="nil"/>
              <w:bottom w:val="single" w:sz="4" w:space="0" w:color="auto"/>
              <w:right w:val="nil"/>
            </w:tcBorders>
            <w:vAlign w:val="center"/>
            <w:hideMark/>
          </w:tcPr>
          <w:p w14:paraId="02B927BD" w14:textId="2DBC84DA" w:rsidR="008C676E" w:rsidRDefault="008C676E">
            <w:pPr>
              <w:spacing w:after="0" w:line="240" w:lineRule="auto"/>
              <w:jc w:val="center"/>
              <w:rPr>
                <w:rFonts w:ascii="Arial" w:hAnsi="Arial" w:cs="Arial"/>
                <w:sz w:val="18"/>
                <w:szCs w:val="18"/>
              </w:rPr>
            </w:pPr>
          </w:p>
        </w:tc>
        <w:tc>
          <w:tcPr>
            <w:tcW w:w="1531" w:type="dxa"/>
            <w:tcBorders>
              <w:top w:val="nil"/>
              <w:left w:val="nil"/>
              <w:bottom w:val="single" w:sz="4" w:space="0" w:color="auto"/>
              <w:right w:val="nil"/>
            </w:tcBorders>
            <w:vAlign w:val="bottom"/>
            <w:hideMark/>
          </w:tcPr>
          <w:p w14:paraId="14364106" w14:textId="34416016"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(8</w:t>
            </w:r>
            <w:r w:rsidR="00D559E2">
              <w:rPr>
                <w:rFonts w:ascii="Arial" w:eastAsia="Times New Roman" w:hAnsi="Arial" w:cs="Arial"/>
                <w:b/>
                <w:bCs/>
                <w:sz w:val="18"/>
                <w:szCs w:val="18"/>
                <w:lang w:eastAsia="en-GB"/>
              </w:rPr>
              <w:t>2.3</w:t>
            </w:r>
            <w:r>
              <w:rPr>
                <w:rFonts w:ascii="Arial" w:eastAsia="Times New Roman" w:hAnsi="Arial" w:cs="Arial"/>
                <w:b/>
                <w:bCs/>
                <w:sz w:val="18"/>
                <w:szCs w:val="18"/>
                <w:lang w:eastAsia="en-GB"/>
              </w:rPr>
              <w:t>)</w:t>
            </w:r>
          </w:p>
        </w:tc>
        <w:tc>
          <w:tcPr>
            <w:tcW w:w="1531" w:type="dxa"/>
            <w:tcBorders>
              <w:top w:val="nil"/>
              <w:left w:val="nil"/>
              <w:bottom w:val="single" w:sz="4" w:space="0" w:color="auto"/>
              <w:right w:val="nil"/>
            </w:tcBorders>
            <w:vAlign w:val="bottom"/>
            <w:hideMark/>
          </w:tcPr>
          <w:p w14:paraId="006941FA"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8C676E" w14:paraId="39726CF7" w14:textId="77777777" w:rsidTr="008C676E">
        <w:trPr>
          <w:trHeight w:val="261"/>
        </w:trPr>
        <w:tc>
          <w:tcPr>
            <w:tcW w:w="5896" w:type="dxa"/>
            <w:tcBorders>
              <w:top w:val="single" w:sz="4" w:space="0" w:color="auto"/>
              <w:left w:val="nil"/>
              <w:bottom w:val="single" w:sz="4" w:space="0" w:color="auto"/>
              <w:right w:val="nil"/>
            </w:tcBorders>
            <w:noWrap/>
            <w:vAlign w:val="center"/>
            <w:hideMark/>
          </w:tcPr>
          <w:p w14:paraId="741D6C91"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Total current liabilities</w:t>
            </w:r>
          </w:p>
        </w:tc>
        <w:tc>
          <w:tcPr>
            <w:tcW w:w="794" w:type="dxa"/>
            <w:tcBorders>
              <w:top w:val="single" w:sz="4" w:space="0" w:color="auto"/>
              <w:left w:val="nil"/>
              <w:bottom w:val="single" w:sz="4" w:space="0" w:color="auto"/>
              <w:right w:val="nil"/>
            </w:tcBorders>
            <w:vAlign w:val="center"/>
          </w:tcPr>
          <w:p w14:paraId="27DAE652" w14:textId="77777777" w:rsidR="008C676E" w:rsidRDefault="008C676E">
            <w:pPr>
              <w:spacing w:after="0" w:line="240" w:lineRule="auto"/>
              <w:jc w:val="center"/>
              <w:rPr>
                <w:rFonts w:ascii="Arial" w:hAnsi="Arial" w:cs="Arial"/>
                <w:sz w:val="18"/>
                <w:szCs w:val="18"/>
              </w:rPr>
            </w:pPr>
          </w:p>
        </w:tc>
        <w:tc>
          <w:tcPr>
            <w:tcW w:w="1531" w:type="dxa"/>
            <w:tcBorders>
              <w:top w:val="single" w:sz="4" w:space="0" w:color="auto"/>
              <w:left w:val="nil"/>
              <w:bottom w:val="single" w:sz="4" w:space="0" w:color="auto"/>
              <w:right w:val="nil"/>
            </w:tcBorders>
            <w:vAlign w:val="bottom"/>
            <w:hideMark/>
          </w:tcPr>
          <w:p w14:paraId="13C2A425" w14:textId="4B0FEB02"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(40</w:t>
            </w:r>
            <w:r w:rsidR="00D559E2">
              <w:rPr>
                <w:rFonts w:ascii="Arial" w:eastAsia="Times New Roman" w:hAnsi="Arial" w:cs="Arial"/>
                <w:b/>
                <w:bCs/>
                <w:sz w:val="18"/>
                <w:szCs w:val="18"/>
                <w:lang w:eastAsia="en-GB"/>
              </w:rPr>
              <w:t>8.2</w:t>
            </w:r>
            <w:r>
              <w:rPr>
                <w:rFonts w:ascii="Arial" w:eastAsia="Times New Roman" w:hAnsi="Arial" w:cs="Arial"/>
                <w:b/>
                <w:bCs/>
                <w:sz w:val="18"/>
                <w:szCs w:val="18"/>
                <w:lang w:eastAsia="en-GB"/>
              </w:rPr>
              <w:t>)</w:t>
            </w:r>
          </w:p>
        </w:tc>
        <w:tc>
          <w:tcPr>
            <w:tcW w:w="1531" w:type="dxa"/>
            <w:tcBorders>
              <w:top w:val="single" w:sz="4" w:space="0" w:color="auto"/>
              <w:left w:val="nil"/>
              <w:bottom w:val="single" w:sz="4" w:space="0" w:color="auto"/>
              <w:right w:val="nil"/>
            </w:tcBorders>
            <w:vAlign w:val="bottom"/>
            <w:hideMark/>
          </w:tcPr>
          <w:p w14:paraId="2D1FD671"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(134.3)</w:t>
            </w:r>
          </w:p>
        </w:tc>
      </w:tr>
      <w:tr w:rsidR="008C676E" w14:paraId="4E7A4258" w14:textId="77777777" w:rsidTr="008C676E">
        <w:trPr>
          <w:trHeight w:val="261"/>
        </w:trPr>
        <w:tc>
          <w:tcPr>
            <w:tcW w:w="5896" w:type="dxa"/>
            <w:tcBorders>
              <w:top w:val="single" w:sz="4" w:space="0" w:color="auto"/>
              <w:left w:val="nil"/>
              <w:bottom w:val="nil"/>
              <w:right w:val="nil"/>
            </w:tcBorders>
            <w:noWrap/>
            <w:vAlign w:val="center"/>
            <w:hideMark/>
          </w:tcPr>
          <w:p w14:paraId="75CB173E" w14:textId="77777777" w:rsidR="008C676E" w:rsidRDefault="008C676E">
            <w:pPr>
              <w:rPr>
                <w:rFonts w:ascii="Arial" w:eastAsia="Times New Roman" w:hAnsi="Arial" w:cs="Arial"/>
                <w:sz w:val="18"/>
                <w:szCs w:val="18"/>
                <w:lang w:eastAsia="en-GB"/>
              </w:rPr>
            </w:pPr>
          </w:p>
        </w:tc>
        <w:tc>
          <w:tcPr>
            <w:tcW w:w="794" w:type="dxa"/>
            <w:tcBorders>
              <w:top w:val="single" w:sz="4" w:space="0" w:color="auto"/>
              <w:left w:val="nil"/>
              <w:bottom w:val="nil"/>
              <w:right w:val="nil"/>
            </w:tcBorders>
            <w:vAlign w:val="center"/>
          </w:tcPr>
          <w:p w14:paraId="0B47ABB9" w14:textId="77777777" w:rsidR="008C676E" w:rsidRDefault="008C676E">
            <w:pPr>
              <w:spacing w:after="0" w:line="240" w:lineRule="auto"/>
              <w:jc w:val="center"/>
              <w:rPr>
                <w:rFonts w:ascii="Arial" w:hAnsi="Arial" w:cs="Arial"/>
                <w:sz w:val="18"/>
                <w:szCs w:val="18"/>
              </w:rPr>
            </w:pPr>
          </w:p>
        </w:tc>
        <w:tc>
          <w:tcPr>
            <w:tcW w:w="1531" w:type="dxa"/>
            <w:tcBorders>
              <w:top w:val="single" w:sz="4" w:space="0" w:color="auto"/>
              <w:left w:val="nil"/>
              <w:bottom w:val="nil"/>
              <w:right w:val="nil"/>
            </w:tcBorders>
            <w:vAlign w:val="bottom"/>
          </w:tcPr>
          <w:p w14:paraId="579397F8"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tcBorders>
              <w:top w:val="single" w:sz="4" w:space="0" w:color="auto"/>
              <w:left w:val="nil"/>
              <w:bottom w:val="nil"/>
              <w:right w:val="nil"/>
            </w:tcBorders>
            <w:vAlign w:val="bottom"/>
          </w:tcPr>
          <w:p w14:paraId="5439F509" w14:textId="77777777" w:rsidR="008C676E" w:rsidRDefault="008C676E">
            <w:pPr>
              <w:spacing w:after="0" w:line="240" w:lineRule="auto"/>
              <w:jc w:val="right"/>
              <w:rPr>
                <w:rFonts w:ascii="Arial" w:eastAsia="Times New Roman" w:hAnsi="Arial" w:cs="Arial"/>
                <w:sz w:val="18"/>
                <w:szCs w:val="18"/>
                <w:lang w:eastAsia="en-GB"/>
              </w:rPr>
            </w:pPr>
          </w:p>
        </w:tc>
      </w:tr>
      <w:tr w:rsidR="008C676E" w14:paraId="05B62AE5" w14:textId="77777777" w:rsidTr="008C676E">
        <w:trPr>
          <w:trHeight w:val="261"/>
        </w:trPr>
        <w:tc>
          <w:tcPr>
            <w:tcW w:w="5896" w:type="dxa"/>
            <w:noWrap/>
            <w:vAlign w:val="center"/>
            <w:hideMark/>
          </w:tcPr>
          <w:p w14:paraId="43500F46"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Non-current liabilities</w:t>
            </w:r>
          </w:p>
        </w:tc>
        <w:tc>
          <w:tcPr>
            <w:tcW w:w="794" w:type="dxa"/>
            <w:vAlign w:val="center"/>
          </w:tcPr>
          <w:p w14:paraId="7166BA15"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vAlign w:val="bottom"/>
          </w:tcPr>
          <w:p w14:paraId="0CFDA6AD"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vAlign w:val="bottom"/>
          </w:tcPr>
          <w:p w14:paraId="79EFF5D0" w14:textId="77777777" w:rsidR="008C676E" w:rsidRDefault="008C676E">
            <w:pPr>
              <w:spacing w:after="0" w:line="240" w:lineRule="auto"/>
              <w:jc w:val="right"/>
              <w:rPr>
                <w:rFonts w:ascii="Arial" w:eastAsia="Times New Roman" w:hAnsi="Arial" w:cs="Arial"/>
                <w:sz w:val="18"/>
                <w:szCs w:val="18"/>
                <w:lang w:eastAsia="en-GB"/>
              </w:rPr>
            </w:pPr>
          </w:p>
        </w:tc>
      </w:tr>
      <w:tr w:rsidR="008C676E" w14:paraId="1C607C8A" w14:textId="77777777" w:rsidTr="008C676E">
        <w:trPr>
          <w:trHeight w:val="261"/>
        </w:trPr>
        <w:tc>
          <w:tcPr>
            <w:tcW w:w="5896" w:type="dxa"/>
            <w:vAlign w:val="center"/>
            <w:hideMark/>
          </w:tcPr>
          <w:p w14:paraId="38985042" w14:textId="77777777" w:rsidR="008C676E" w:rsidRDefault="008C676E">
            <w:pPr>
              <w:spacing w:after="0" w:line="240" w:lineRule="auto"/>
              <w:rPr>
                <w:rFonts w:ascii="Arial" w:eastAsia="Times New Roman" w:hAnsi="Arial" w:cs="Arial"/>
                <w:b/>
                <w:bCs/>
                <w:sz w:val="18"/>
                <w:szCs w:val="18"/>
                <w:lang w:eastAsia="en-GB"/>
              </w:rPr>
            </w:pPr>
            <w:r>
              <w:rPr>
                <w:rFonts w:ascii="Arial" w:hAnsi="Arial" w:cs="Arial"/>
                <w:sz w:val="18"/>
                <w:szCs w:val="18"/>
              </w:rPr>
              <w:t>Trade and other payables</w:t>
            </w:r>
          </w:p>
        </w:tc>
        <w:tc>
          <w:tcPr>
            <w:tcW w:w="794" w:type="dxa"/>
            <w:vAlign w:val="center"/>
            <w:hideMark/>
          </w:tcPr>
          <w:p w14:paraId="464BCF3D" w14:textId="3CB77C5A" w:rsidR="008C676E" w:rsidRDefault="00742B10">
            <w:pPr>
              <w:spacing w:after="0" w:line="240" w:lineRule="auto"/>
              <w:jc w:val="center"/>
              <w:rPr>
                <w:rFonts w:ascii="Arial" w:hAnsi="Arial" w:cs="Arial"/>
                <w:sz w:val="18"/>
                <w:szCs w:val="18"/>
              </w:rPr>
            </w:pPr>
            <w:r>
              <w:rPr>
                <w:rFonts w:ascii="Arial" w:hAnsi="Arial" w:cs="Arial"/>
                <w:sz w:val="18"/>
                <w:szCs w:val="18"/>
              </w:rPr>
              <w:t>9</w:t>
            </w:r>
          </w:p>
        </w:tc>
        <w:tc>
          <w:tcPr>
            <w:tcW w:w="1531" w:type="dxa"/>
            <w:vAlign w:val="bottom"/>
            <w:hideMark/>
          </w:tcPr>
          <w:p w14:paraId="655A3A23"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(0.7)</w:t>
            </w:r>
          </w:p>
        </w:tc>
        <w:tc>
          <w:tcPr>
            <w:tcW w:w="1531" w:type="dxa"/>
            <w:vAlign w:val="bottom"/>
            <w:hideMark/>
          </w:tcPr>
          <w:p w14:paraId="51754EE5"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(12.0)</w:t>
            </w:r>
          </w:p>
        </w:tc>
      </w:tr>
      <w:tr w:rsidR="008C676E" w14:paraId="44ED9B06" w14:textId="77777777" w:rsidTr="008C676E">
        <w:trPr>
          <w:trHeight w:val="261"/>
        </w:trPr>
        <w:tc>
          <w:tcPr>
            <w:tcW w:w="5896" w:type="dxa"/>
            <w:noWrap/>
            <w:vAlign w:val="center"/>
            <w:hideMark/>
          </w:tcPr>
          <w:p w14:paraId="3C966957" w14:textId="77777777" w:rsidR="008C676E" w:rsidRDefault="008C676E">
            <w:pPr>
              <w:spacing w:after="0" w:line="240" w:lineRule="auto"/>
              <w:rPr>
                <w:rFonts w:ascii="Arial" w:eastAsia="Times New Roman" w:hAnsi="Arial" w:cs="Arial"/>
                <w:b/>
                <w:bCs/>
                <w:sz w:val="18"/>
                <w:szCs w:val="18"/>
                <w:lang w:eastAsia="en-GB"/>
              </w:rPr>
            </w:pPr>
            <w:r>
              <w:rPr>
                <w:rFonts w:ascii="Arial" w:hAnsi="Arial" w:cs="Arial"/>
                <w:sz w:val="18"/>
                <w:szCs w:val="18"/>
              </w:rPr>
              <w:t>Financial liabilities - borrowings</w:t>
            </w:r>
          </w:p>
        </w:tc>
        <w:tc>
          <w:tcPr>
            <w:tcW w:w="794" w:type="dxa"/>
            <w:vAlign w:val="center"/>
            <w:hideMark/>
          </w:tcPr>
          <w:p w14:paraId="7153F2B6" w14:textId="662A4D41" w:rsidR="008C676E" w:rsidRDefault="008C676E">
            <w:pPr>
              <w:spacing w:after="0" w:line="240" w:lineRule="auto"/>
              <w:jc w:val="center"/>
              <w:rPr>
                <w:rFonts w:ascii="Arial" w:hAnsi="Arial" w:cs="Arial"/>
                <w:sz w:val="18"/>
                <w:szCs w:val="18"/>
              </w:rPr>
            </w:pPr>
          </w:p>
        </w:tc>
        <w:tc>
          <w:tcPr>
            <w:tcW w:w="1531" w:type="dxa"/>
            <w:vAlign w:val="bottom"/>
            <w:hideMark/>
          </w:tcPr>
          <w:p w14:paraId="3C933497"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1531" w:type="dxa"/>
            <w:vAlign w:val="bottom"/>
            <w:hideMark/>
          </w:tcPr>
          <w:p w14:paraId="76556416"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(191.0)</w:t>
            </w:r>
          </w:p>
        </w:tc>
      </w:tr>
      <w:tr w:rsidR="008C676E" w14:paraId="4CABA17D" w14:textId="77777777" w:rsidTr="008C676E">
        <w:trPr>
          <w:trHeight w:val="261"/>
        </w:trPr>
        <w:tc>
          <w:tcPr>
            <w:tcW w:w="5896" w:type="dxa"/>
            <w:noWrap/>
            <w:vAlign w:val="center"/>
            <w:hideMark/>
          </w:tcPr>
          <w:p w14:paraId="6A6118E8" w14:textId="77777777" w:rsidR="008C676E" w:rsidRDefault="008C676E">
            <w:pPr>
              <w:spacing w:after="0" w:line="240" w:lineRule="auto"/>
              <w:rPr>
                <w:rFonts w:ascii="Arial" w:eastAsia="Times New Roman" w:hAnsi="Arial" w:cs="Arial"/>
                <w:b/>
                <w:sz w:val="18"/>
                <w:szCs w:val="18"/>
                <w:lang w:eastAsia="en-GB"/>
              </w:rPr>
            </w:pPr>
            <w:r>
              <w:rPr>
                <w:rFonts w:ascii="Arial" w:hAnsi="Arial" w:cs="Arial"/>
                <w:sz w:val="18"/>
                <w:szCs w:val="18"/>
              </w:rPr>
              <w:t>Financial liabilities - lease liabilities</w:t>
            </w:r>
          </w:p>
        </w:tc>
        <w:tc>
          <w:tcPr>
            <w:tcW w:w="794" w:type="dxa"/>
            <w:vAlign w:val="center"/>
            <w:hideMark/>
          </w:tcPr>
          <w:p w14:paraId="2A05736B" w14:textId="7FE2982B" w:rsidR="008C676E" w:rsidRDefault="005E386C">
            <w:pPr>
              <w:spacing w:after="0" w:line="240" w:lineRule="auto"/>
              <w:jc w:val="center"/>
              <w:rPr>
                <w:rFonts w:ascii="Arial" w:hAnsi="Arial" w:cs="Arial"/>
                <w:sz w:val="18"/>
                <w:szCs w:val="18"/>
              </w:rPr>
            </w:pPr>
            <w:r>
              <w:rPr>
                <w:rFonts w:ascii="Arial" w:hAnsi="Arial" w:cs="Arial"/>
                <w:sz w:val="18"/>
                <w:szCs w:val="18"/>
              </w:rPr>
              <w:t>10</w:t>
            </w:r>
          </w:p>
        </w:tc>
        <w:tc>
          <w:tcPr>
            <w:tcW w:w="1531" w:type="dxa"/>
            <w:vAlign w:val="bottom"/>
            <w:hideMark/>
          </w:tcPr>
          <w:p w14:paraId="2E29A25E"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(16.9)</w:t>
            </w:r>
          </w:p>
        </w:tc>
        <w:tc>
          <w:tcPr>
            <w:tcW w:w="1531" w:type="dxa"/>
            <w:vAlign w:val="bottom"/>
            <w:hideMark/>
          </w:tcPr>
          <w:p w14:paraId="0E46C977"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(18.4)</w:t>
            </w:r>
          </w:p>
        </w:tc>
      </w:tr>
      <w:tr w:rsidR="008C676E" w14:paraId="32007AC3" w14:textId="77777777" w:rsidTr="008C676E">
        <w:trPr>
          <w:trHeight w:val="261"/>
        </w:trPr>
        <w:tc>
          <w:tcPr>
            <w:tcW w:w="5896" w:type="dxa"/>
            <w:noWrap/>
            <w:vAlign w:val="center"/>
            <w:hideMark/>
          </w:tcPr>
          <w:p w14:paraId="6F5F0848" w14:textId="77777777" w:rsidR="008C676E" w:rsidRDefault="008C676E">
            <w:pPr>
              <w:spacing w:after="0" w:line="240" w:lineRule="auto"/>
              <w:rPr>
                <w:rFonts w:ascii="Arial" w:hAnsi="Arial" w:cs="Arial"/>
                <w:sz w:val="18"/>
                <w:szCs w:val="18"/>
              </w:rPr>
            </w:pPr>
            <w:r>
              <w:rPr>
                <w:rFonts w:ascii="Arial" w:hAnsi="Arial" w:cs="Arial"/>
                <w:sz w:val="18"/>
                <w:szCs w:val="18"/>
              </w:rPr>
              <w:t>Deferred tax liabilities</w:t>
            </w:r>
          </w:p>
        </w:tc>
        <w:tc>
          <w:tcPr>
            <w:tcW w:w="794" w:type="dxa"/>
            <w:vAlign w:val="center"/>
            <w:hideMark/>
          </w:tcPr>
          <w:p w14:paraId="2BCDA420" w14:textId="32F4967E" w:rsidR="008C676E" w:rsidRDefault="008C676E">
            <w:pPr>
              <w:spacing w:after="0" w:line="240" w:lineRule="auto"/>
              <w:jc w:val="center"/>
              <w:rPr>
                <w:rFonts w:ascii="Arial" w:hAnsi="Arial" w:cs="Arial"/>
                <w:sz w:val="18"/>
                <w:szCs w:val="18"/>
              </w:rPr>
            </w:pPr>
          </w:p>
        </w:tc>
        <w:tc>
          <w:tcPr>
            <w:tcW w:w="1531" w:type="dxa"/>
            <w:vAlign w:val="bottom"/>
            <w:hideMark/>
          </w:tcPr>
          <w:p w14:paraId="0B1E1DBE" w14:textId="29C7D2A0"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w:t>
            </w:r>
            <w:r w:rsidR="00FD35E9">
              <w:rPr>
                <w:rFonts w:ascii="Arial" w:eastAsia="Times New Roman" w:hAnsi="Arial" w:cs="Arial"/>
                <w:b/>
                <w:bCs/>
                <w:sz w:val="18"/>
                <w:szCs w:val="18"/>
                <w:lang w:eastAsia="en-GB"/>
              </w:rPr>
              <w:t>26.0</w:t>
            </w:r>
            <w:r>
              <w:rPr>
                <w:rFonts w:ascii="Arial" w:eastAsia="Times New Roman" w:hAnsi="Arial" w:cs="Arial"/>
                <w:b/>
                <w:bCs/>
                <w:sz w:val="18"/>
                <w:szCs w:val="18"/>
                <w:lang w:eastAsia="en-GB"/>
              </w:rPr>
              <w:t>)</w:t>
            </w:r>
          </w:p>
        </w:tc>
        <w:tc>
          <w:tcPr>
            <w:tcW w:w="1531" w:type="dxa"/>
            <w:vAlign w:val="bottom"/>
            <w:hideMark/>
          </w:tcPr>
          <w:p w14:paraId="1D67CBC1"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(51.2)</w:t>
            </w:r>
          </w:p>
        </w:tc>
      </w:tr>
      <w:tr w:rsidR="008C676E" w14:paraId="64FEAFB1" w14:textId="77777777" w:rsidTr="008C676E">
        <w:trPr>
          <w:trHeight w:val="261"/>
        </w:trPr>
        <w:tc>
          <w:tcPr>
            <w:tcW w:w="5896" w:type="dxa"/>
            <w:tcBorders>
              <w:top w:val="nil"/>
              <w:left w:val="nil"/>
              <w:bottom w:val="single" w:sz="4" w:space="0" w:color="auto"/>
              <w:right w:val="nil"/>
            </w:tcBorders>
            <w:noWrap/>
            <w:vAlign w:val="center"/>
            <w:hideMark/>
          </w:tcPr>
          <w:p w14:paraId="577267E6"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Provisions</w:t>
            </w:r>
          </w:p>
        </w:tc>
        <w:tc>
          <w:tcPr>
            <w:tcW w:w="794" w:type="dxa"/>
            <w:tcBorders>
              <w:top w:val="nil"/>
              <w:left w:val="nil"/>
              <w:bottom w:val="single" w:sz="4" w:space="0" w:color="auto"/>
              <w:right w:val="nil"/>
            </w:tcBorders>
            <w:vAlign w:val="center"/>
            <w:hideMark/>
          </w:tcPr>
          <w:p w14:paraId="5B08D352" w14:textId="71E7FA4C" w:rsidR="008C676E" w:rsidRDefault="008C676E">
            <w:pPr>
              <w:spacing w:after="0" w:line="240" w:lineRule="auto"/>
              <w:jc w:val="center"/>
              <w:rPr>
                <w:rFonts w:ascii="Arial" w:hAnsi="Arial" w:cs="Arial"/>
                <w:sz w:val="18"/>
                <w:szCs w:val="18"/>
              </w:rPr>
            </w:pPr>
          </w:p>
        </w:tc>
        <w:tc>
          <w:tcPr>
            <w:tcW w:w="1531" w:type="dxa"/>
            <w:tcBorders>
              <w:top w:val="nil"/>
              <w:left w:val="nil"/>
              <w:bottom w:val="single" w:sz="4" w:space="0" w:color="auto"/>
              <w:right w:val="nil"/>
            </w:tcBorders>
            <w:vAlign w:val="bottom"/>
            <w:hideMark/>
          </w:tcPr>
          <w:p w14:paraId="7C9FD8C9"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(1.0)</w:t>
            </w:r>
          </w:p>
        </w:tc>
        <w:tc>
          <w:tcPr>
            <w:tcW w:w="1531" w:type="dxa"/>
            <w:tcBorders>
              <w:top w:val="nil"/>
              <w:left w:val="nil"/>
              <w:bottom w:val="single" w:sz="4" w:space="0" w:color="auto"/>
              <w:right w:val="nil"/>
            </w:tcBorders>
            <w:vAlign w:val="bottom"/>
            <w:hideMark/>
          </w:tcPr>
          <w:p w14:paraId="1B4C9BB8"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(1.2)</w:t>
            </w:r>
          </w:p>
        </w:tc>
      </w:tr>
      <w:tr w:rsidR="008C676E" w14:paraId="2F0C68FD" w14:textId="77777777" w:rsidTr="008C676E">
        <w:trPr>
          <w:trHeight w:val="261"/>
        </w:trPr>
        <w:tc>
          <w:tcPr>
            <w:tcW w:w="5896" w:type="dxa"/>
            <w:tcBorders>
              <w:top w:val="single" w:sz="4" w:space="0" w:color="auto"/>
              <w:left w:val="nil"/>
              <w:bottom w:val="single" w:sz="4" w:space="0" w:color="auto"/>
              <w:right w:val="nil"/>
            </w:tcBorders>
            <w:vAlign w:val="center"/>
            <w:hideMark/>
          </w:tcPr>
          <w:p w14:paraId="19A70EF1"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Total non-current liabilities</w:t>
            </w:r>
          </w:p>
        </w:tc>
        <w:tc>
          <w:tcPr>
            <w:tcW w:w="794" w:type="dxa"/>
            <w:tcBorders>
              <w:top w:val="single" w:sz="4" w:space="0" w:color="auto"/>
              <w:left w:val="nil"/>
              <w:bottom w:val="single" w:sz="4" w:space="0" w:color="auto"/>
              <w:right w:val="nil"/>
            </w:tcBorders>
            <w:vAlign w:val="center"/>
          </w:tcPr>
          <w:p w14:paraId="38F4EDC5" w14:textId="77777777" w:rsidR="008C676E" w:rsidRDefault="008C676E">
            <w:pPr>
              <w:spacing w:after="0" w:line="240" w:lineRule="auto"/>
              <w:jc w:val="center"/>
              <w:rPr>
                <w:rFonts w:ascii="Arial" w:eastAsia="Times New Roman" w:hAnsi="Arial" w:cs="Arial"/>
                <w:sz w:val="18"/>
                <w:szCs w:val="18"/>
                <w:highlight w:val="yellow"/>
                <w:lang w:eastAsia="en-GB"/>
              </w:rPr>
            </w:pPr>
          </w:p>
        </w:tc>
        <w:tc>
          <w:tcPr>
            <w:tcW w:w="1531" w:type="dxa"/>
            <w:tcBorders>
              <w:top w:val="single" w:sz="4" w:space="0" w:color="auto"/>
              <w:left w:val="nil"/>
              <w:bottom w:val="single" w:sz="4" w:space="0" w:color="auto"/>
              <w:right w:val="nil"/>
            </w:tcBorders>
            <w:vAlign w:val="bottom"/>
            <w:hideMark/>
          </w:tcPr>
          <w:p w14:paraId="27527D94" w14:textId="6B7A1BF6"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w:t>
            </w:r>
            <w:r w:rsidR="00FD35E9">
              <w:rPr>
                <w:rFonts w:ascii="Arial" w:eastAsia="Times New Roman" w:hAnsi="Arial" w:cs="Arial"/>
                <w:b/>
                <w:bCs/>
                <w:sz w:val="18"/>
                <w:szCs w:val="18"/>
                <w:lang w:eastAsia="en-GB"/>
              </w:rPr>
              <w:t>44.6</w:t>
            </w:r>
            <w:r>
              <w:rPr>
                <w:rFonts w:ascii="Arial" w:eastAsia="Times New Roman" w:hAnsi="Arial" w:cs="Arial"/>
                <w:b/>
                <w:bCs/>
                <w:sz w:val="18"/>
                <w:szCs w:val="18"/>
                <w:lang w:eastAsia="en-GB"/>
              </w:rPr>
              <w:t>)</w:t>
            </w:r>
          </w:p>
        </w:tc>
        <w:tc>
          <w:tcPr>
            <w:tcW w:w="1531" w:type="dxa"/>
            <w:tcBorders>
              <w:top w:val="single" w:sz="4" w:space="0" w:color="auto"/>
              <w:left w:val="nil"/>
              <w:bottom w:val="single" w:sz="4" w:space="0" w:color="auto"/>
              <w:right w:val="nil"/>
            </w:tcBorders>
            <w:vAlign w:val="bottom"/>
            <w:hideMark/>
          </w:tcPr>
          <w:p w14:paraId="22A85688"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(273.8)</w:t>
            </w:r>
          </w:p>
        </w:tc>
      </w:tr>
      <w:tr w:rsidR="008C676E" w14:paraId="1E15C1A2" w14:textId="77777777" w:rsidTr="008C676E">
        <w:trPr>
          <w:trHeight w:val="261"/>
        </w:trPr>
        <w:tc>
          <w:tcPr>
            <w:tcW w:w="5896" w:type="dxa"/>
            <w:tcBorders>
              <w:top w:val="single" w:sz="4" w:space="0" w:color="auto"/>
              <w:left w:val="nil"/>
              <w:bottom w:val="single" w:sz="4" w:space="0" w:color="auto"/>
              <w:right w:val="nil"/>
            </w:tcBorders>
            <w:vAlign w:val="center"/>
          </w:tcPr>
          <w:p w14:paraId="0A2473A0" w14:textId="77777777" w:rsidR="008C676E" w:rsidRDefault="008C676E">
            <w:pPr>
              <w:spacing w:after="0" w:line="240" w:lineRule="auto"/>
              <w:rPr>
                <w:rFonts w:ascii="Arial" w:eastAsia="Times New Roman" w:hAnsi="Arial" w:cs="Arial"/>
                <w:b/>
                <w:bCs/>
                <w:sz w:val="18"/>
                <w:szCs w:val="18"/>
                <w:lang w:eastAsia="en-GB"/>
              </w:rPr>
            </w:pPr>
          </w:p>
        </w:tc>
        <w:tc>
          <w:tcPr>
            <w:tcW w:w="794" w:type="dxa"/>
            <w:tcBorders>
              <w:top w:val="single" w:sz="4" w:space="0" w:color="auto"/>
              <w:left w:val="nil"/>
              <w:bottom w:val="single" w:sz="4" w:space="0" w:color="auto"/>
              <w:right w:val="nil"/>
            </w:tcBorders>
            <w:vAlign w:val="center"/>
          </w:tcPr>
          <w:p w14:paraId="33748011" w14:textId="77777777" w:rsidR="008C676E" w:rsidRDefault="008C676E">
            <w:pPr>
              <w:spacing w:after="0" w:line="240" w:lineRule="auto"/>
              <w:jc w:val="center"/>
              <w:rPr>
                <w:rFonts w:ascii="Arial" w:eastAsia="Times New Roman" w:hAnsi="Arial" w:cs="Arial"/>
                <w:sz w:val="18"/>
                <w:szCs w:val="18"/>
                <w:highlight w:val="yellow"/>
                <w:lang w:eastAsia="en-GB"/>
              </w:rPr>
            </w:pPr>
          </w:p>
        </w:tc>
        <w:tc>
          <w:tcPr>
            <w:tcW w:w="1531" w:type="dxa"/>
            <w:tcBorders>
              <w:top w:val="single" w:sz="4" w:space="0" w:color="auto"/>
              <w:left w:val="nil"/>
              <w:bottom w:val="single" w:sz="4" w:space="0" w:color="auto"/>
              <w:right w:val="nil"/>
            </w:tcBorders>
            <w:vAlign w:val="bottom"/>
          </w:tcPr>
          <w:p w14:paraId="1761D5D5"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tcBorders>
              <w:top w:val="single" w:sz="4" w:space="0" w:color="auto"/>
              <w:left w:val="nil"/>
              <w:bottom w:val="single" w:sz="4" w:space="0" w:color="auto"/>
              <w:right w:val="nil"/>
            </w:tcBorders>
            <w:vAlign w:val="bottom"/>
          </w:tcPr>
          <w:p w14:paraId="1F551510" w14:textId="77777777" w:rsidR="008C676E" w:rsidRDefault="008C676E">
            <w:pPr>
              <w:spacing w:after="0" w:line="240" w:lineRule="auto"/>
              <w:jc w:val="right"/>
              <w:rPr>
                <w:rFonts w:ascii="Arial" w:eastAsia="Times New Roman" w:hAnsi="Arial" w:cs="Arial"/>
                <w:sz w:val="18"/>
                <w:szCs w:val="18"/>
                <w:lang w:eastAsia="en-GB"/>
              </w:rPr>
            </w:pPr>
          </w:p>
        </w:tc>
      </w:tr>
      <w:tr w:rsidR="008C676E" w14:paraId="4BB96058" w14:textId="77777777" w:rsidTr="008C676E">
        <w:trPr>
          <w:trHeight w:val="261"/>
        </w:trPr>
        <w:tc>
          <w:tcPr>
            <w:tcW w:w="5896" w:type="dxa"/>
            <w:tcBorders>
              <w:top w:val="single" w:sz="4" w:space="0" w:color="auto"/>
              <w:left w:val="nil"/>
              <w:bottom w:val="single" w:sz="4" w:space="0" w:color="auto"/>
              <w:right w:val="nil"/>
            </w:tcBorders>
            <w:noWrap/>
            <w:vAlign w:val="center"/>
            <w:hideMark/>
          </w:tcPr>
          <w:p w14:paraId="43B22DE1"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Total liabilities</w:t>
            </w:r>
          </w:p>
        </w:tc>
        <w:tc>
          <w:tcPr>
            <w:tcW w:w="794" w:type="dxa"/>
            <w:tcBorders>
              <w:top w:val="single" w:sz="4" w:space="0" w:color="auto"/>
              <w:left w:val="nil"/>
              <w:bottom w:val="single" w:sz="4" w:space="0" w:color="auto"/>
              <w:right w:val="nil"/>
            </w:tcBorders>
            <w:vAlign w:val="center"/>
          </w:tcPr>
          <w:p w14:paraId="2596FC43" w14:textId="77777777" w:rsidR="008C676E" w:rsidRDefault="008C676E">
            <w:pPr>
              <w:spacing w:after="0" w:line="240" w:lineRule="auto"/>
              <w:jc w:val="center"/>
              <w:rPr>
                <w:rFonts w:ascii="Arial" w:hAnsi="Arial" w:cs="Arial"/>
                <w:b/>
                <w:bCs/>
                <w:sz w:val="18"/>
                <w:szCs w:val="18"/>
                <w:highlight w:val="yellow"/>
              </w:rPr>
            </w:pPr>
          </w:p>
        </w:tc>
        <w:tc>
          <w:tcPr>
            <w:tcW w:w="1531" w:type="dxa"/>
            <w:tcBorders>
              <w:top w:val="single" w:sz="4" w:space="0" w:color="auto"/>
              <w:left w:val="nil"/>
              <w:bottom w:val="single" w:sz="4" w:space="0" w:color="auto"/>
              <w:right w:val="nil"/>
            </w:tcBorders>
            <w:vAlign w:val="bottom"/>
            <w:hideMark/>
          </w:tcPr>
          <w:p w14:paraId="2C5862EB" w14:textId="6EC2665C"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(45</w:t>
            </w:r>
            <w:r w:rsidR="00FD35E9">
              <w:rPr>
                <w:rFonts w:ascii="Arial" w:eastAsia="Times New Roman" w:hAnsi="Arial" w:cs="Arial"/>
                <w:b/>
                <w:bCs/>
                <w:sz w:val="18"/>
                <w:szCs w:val="18"/>
                <w:lang w:eastAsia="en-GB"/>
              </w:rPr>
              <w:t>2.8</w:t>
            </w:r>
            <w:r>
              <w:rPr>
                <w:rFonts w:ascii="Arial" w:eastAsia="Times New Roman" w:hAnsi="Arial" w:cs="Arial"/>
                <w:b/>
                <w:bCs/>
                <w:sz w:val="18"/>
                <w:szCs w:val="18"/>
                <w:lang w:eastAsia="en-GB"/>
              </w:rPr>
              <w:t>)</w:t>
            </w:r>
          </w:p>
        </w:tc>
        <w:tc>
          <w:tcPr>
            <w:tcW w:w="1531" w:type="dxa"/>
            <w:tcBorders>
              <w:top w:val="single" w:sz="4" w:space="0" w:color="auto"/>
              <w:left w:val="nil"/>
              <w:bottom w:val="single" w:sz="4" w:space="0" w:color="auto"/>
              <w:right w:val="nil"/>
            </w:tcBorders>
            <w:vAlign w:val="bottom"/>
            <w:hideMark/>
          </w:tcPr>
          <w:p w14:paraId="55D79D46"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(408.1)</w:t>
            </w:r>
          </w:p>
        </w:tc>
      </w:tr>
      <w:tr w:rsidR="008C676E" w14:paraId="56F903CA" w14:textId="77777777" w:rsidTr="008C676E">
        <w:trPr>
          <w:trHeight w:val="261"/>
        </w:trPr>
        <w:tc>
          <w:tcPr>
            <w:tcW w:w="5896" w:type="dxa"/>
            <w:tcBorders>
              <w:top w:val="single" w:sz="4" w:space="0" w:color="auto"/>
              <w:left w:val="nil"/>
              <w:bottom w:val="single" w:sz="4" w:space="0" w:color="auto"/>
              <w:right w:val="nil"/>
            </w:tcBorders>
            <w:noWrap/>
            <w:vAlign w:val="center"/>
          </w:tcPr>
          <w:p w14:paraId="21B1E89C" w14:textId="77777777" w:rsidR="008C676E" w:rsidRDefault="008C676E">
            <w:pPr>
              <w:spacing w:after="0" w:line="240" w:lineRule="auto"/>
              <w:rPr>
                <w:rFonts w:ascii="Arial" w:eastAsia="Times New Roman" w:hAnsi="Arial" w:cs="Arial"/>
                <w:b/>
                <w:bCs/>
                <w:sz w:val="18"/>
                <w:szCs w:val="18"/>
                <w:lang w:eastAsia="en-GB"/>
              </w:rPr>
            </w:pPr>
          </w:p>
        </w:tc>
        <w:tc>
          <w:tcPr>
            <w:tcW w:w="794" w:type="dxa"/>
            <w:tcBorders>
              <w:top w:val="single" w:sz="4" w:space="0" w:color="auto"/>
              <w:left w:val="nil"/>
              <w:bottom w:val="single" w:sz="4" w:space="0" w:color="auto"/>
              <w:right w:val="nil"/>
            </w:tcBorders>
            <w:vAlign w:val="center"/>
          </w:tcPr>
          <w:p w14:paraId="41357DF1" w14:textId="77777777" w:rsidR="008C676E" w:rsidRDefault="008C676E">
            <w:pPr>
              <w:spacing w:after="0" w:line="240" w:lineRule="auto"/>
              <w:jc w:val="center"/>
              <w:rPr>
                <w:rFonts w:ascii="Arial" w:hAnsi="Arial" w:cs="Arial"/>
                <w:b/>
                <w:bCs/>
                <w:sz w:val="18"/>
                <w:szCs w:val="18"/>
                <w:highlight w:val="yellow"/>
              </w:rPr>
            </w:pPr>
          </w:p>
        </w:tc>
        <w:tc>
          <w:tcPr>
            <w:tcW w:w="1531" w:type="dxa"/>
            <w:tcBorders>
              <w:top w:val="single" w:sz="4" w:space="0" w:color="auto"/>
              <w:left w:val="nil"/>
              <w:bottom w:val="single" w:sz="4" w:space="0" w:color="auto"/>
              <w:right w:val="nil"/>
            </w:tcBorders>
            <w:vAlign w:val="bottom"/>
          </w:tcPr>
          <w:p w14:paraId="3C2D5527"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tcBorders>
              <w:top w:val="single" w:sz="4" w:space="0" w:color="auto"/>
              <w:left w:val="nil"/>
              <w:bottom w:val="single" w:sz="4" w:space="0" w:color="auto"/>
              <w:right w:val="nil"/>
            </w:tcBorders>
            <w:vAlign w:val="bottom"/>
          </w:tcPr>
          <w:p w14:paraId="32288166" w14:textId="77777777" w:rsidR="008C676E" w:rsidRDefault="008C676E">
            <w:pPr>
              <w:spacing w:after="0" w:line="240" w:lineRule="auto"/>
              <w:jc w:val="right"/>
              <w:rPr>
                <w:rFonts w:ascii="Arial" w:eastAsia="Times New Roman" w:hAnsi="Arial" w:cs="Arial"/>
                <w:sz w:val="18"/>
                <w:szCs w:val="18"/>
                <w:lang w:eastAsia="en-GB"/>
              </w:rPr>
            </w:pPr>
          </w:p>
        </w:tc>
      </w:tr>
      <w:tr w:rsidR="008C676E" w14:paraId="05389F26" w14:textId="77777777" w:rsidTr="008C676E">
        <w:trPr>
          <w:trHeight w:val="261"/>
        </w:trPr>
        <w:tc>
          <w:tcPr>
            <w:tcW w:w="5896" w:type="dxa"/>
            <w:tcBorders>
              <w:top w:val="single" w:sz="4" w:space="0" w:color="auto"/>
              <w:left w:val="nil"/>
              <w:bottom w:val="single" w:sz="4" w:space="0" w:color="auto"/>
              <w:right w:val="nil"/>
            </w:tcBorders>
            <w:noWrap/>
            <w:vAlign w:val="center"/>
            <w:hideMark/>
          </w:tcPr>
          <w:p w14:paraId="2A133F24"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Net assets</w:t>
            </w:r>
          </w:p>
        </w:tc>
        <w:tc>
          <w:tcPr>
            <w:tcW w:w="794" w:type="dxa"/>
            <w:tcBorders>
              <w:top w:val="single" w:sz="4" w:space="0" w:color="auto"/>
              <w:left w:val="nil"/>
              <w:bottom w:val="single" w:sz="4" w:space="0" w:color="auto"/>
              <w:right w:val="nil"/>
            </w:tcBorders>
            <w:vAlign w:val="center"/>
          </w:tcPr>
          <w:p w14:paraId="3F6A0AFD" w14:textId="77777777" w:rsidR="008C676E" w:rsidRDefault="008C676E">
            <w:pPr>
              <w:spacing w:after="0" w:line="240" w:lineRule="auto"/>
              <w:jc w:val="center"/>
              <w:rPr>
                <w:rFonts w:ascii="Arial" w:hAnsi="Arial" w:cs="Arial"/>
                <w:b/>
                <w:bCs/>
                <w:sz w:val="18"/>
                <w:szCs w:val="18"/>
                <w:highlight w:val="yellow"/>
              </w:rPr>
            </w:pPr>
          </w:p>
        </w:tc>
        <w:tc>
          <w:tcPr>
            <w:tcW w:w="1531" w:type="dxa"/>
            <w:tcBorders>
              <w:top w:val="single" w:sz="4" w:space="0" w:color="auto"/>
              <w:left w:val="nil"/>
              <w:bottom w:val="single" w:sz="4" w:space="0" w:color="auto"/>
              <w:right w:val="nil"/>
            </w:tcBorders>
            <w:vAlign w:val="bottom"/>
            <w:hideMark/>
          </w:tcPr>
          <w:p w14:paraId="62346D9D"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437.5</w:t>
            </w:r>
          </w:p>
        </w:tc>
        <w:tc>
          <w:tcPr>
            <w:tcW w:w="1531" w:type="dxa"/>
            <w:tcBorders>
              <w:top w:val="single" w:sz="4" w:space="0" w:color="auto"/>
              <w:left w:val="nil"/>
              <w:bottom w:val="single" w:sz="4" w:space="0" w:color="auto"/>
              <w:right w:val="nil"/>
            </w:tcBorders>
            <w:vAlign w:val="bottom"/>
            <w:hideMark/>
          </w:tcPr>
          <w:p w14:paraId="105E1AD9"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443.3</w:t>
            </w:r>
          </w:p>
        </w:tc>
      </w:tr>
      <w:tr w:rsidR="008C676E" w14:paraId="7D10B314" w14:textId="77777777" w:rsidTr="008C676E">
        <w:trPr>
          <w:trHeight w:val="261"/>
        </w:trPr>
        <w:tc>
          <w:tcPr>
            <w:tcW w:w="5896" w:type="dxa"/>
            <w:tcBorders>
              <w:top w:val="single" w:sz="4" w:space="0" w:color="auto"/>
              <w:left w:val="nil"/>
              <w:bottom w:val="nil"/>
              <w:right w:val="nil"/>
            </w:tcBorders>
            <w:noWrap/>
            <w:vAlign w:val="center"/>
            <w:hideMark/>
          </w:tcPr>
          <w:p w14:paraId="683E1DA3" w14:textId="77777777" w:rsidR="008C676E" w:rsidRDefault="008C676E">
            <w:pPr>
              <w:rPr>
                <w:rFonts w:ascii="Arial" w:eastAsia="Times New Roman" w:hAnsi="Arial" w:cs="Arial"/>
                <w:sz w:val="18"/>
                <w:szCs w:val="18"/>
                <w:lang w:eastAsia="en-GB"/>
              </w:rPr>
            </w:pPr>
          </w:p>
        </w:tc>
        <w:tc>
          <w:tcPr>
            <w:tcW w:w="794" w:type="dxa"/>
            <w:tcBorders>
              <w:top w:val="single" w:sz="4" w:space="0" w:color="auto"/>
              <w:left w:val="nil"/>
              <w:bottom w:val="nil"/>
              <w:right w:val="nil"/>
            </w:tcBorders>
            <w:vAlign w:val="center"/>
          </w:tcPr>
          <w:p w14:paraId="3203F632" w14:textId="77777777" w:rsidR="008C676E" w:rsidRDefault="008C676E">
            <w:pPr>
              <w:spacing w:after="0" w:line="240" w:lineRule="auto"/>
              <w:jc w:val="center"/>
              <w:rPr>
                <w:rFonts w:ascii="Arial" w:eastAsia="Times New Roman" w:hAnsi="Arial" w:cs="Arial"/>
                <w:sz w:val="18"/>
                <w:szCs w:val="18"/>
                <w:highlight w:val="yellow"/>
                <w:lang w:eastAsia="en-GB"/>
              </w:rPr>
            </w:pPr>
          </w:p>
        </w:tc>
        <w:tc>
          <w:tcPr>
            <w:tcW w:w="1531" w:type="dxa"/>
            <w:tcBorders>
              <w:top w:val="single" w:sz="4" w:space="0" w:color="auto"/>
              <w:left w:val="nil"/>
              <w:bottom w:val="nil"/>
              <w:right w:val="nil"/>
            </w:tcBorders>
            <w:vAlign w:val="bottom"/>
          </w:tcPr>
          <w:p w14:paraId="5D0898EE"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tcBorders>
              <w:top w:val="single" w:sz="4" w:space="0" w:color="auto"/>
              <w:left w:val="nil"/>
              <w:bottom w:val="nil"/>
              <w:right w:val="nil"/>
            </w:tcBorders>
            <w:vAlign w:val="bottom"/>
          </w:tcPr>
          <w:p w14:paraId="2DDFC837" w14:textId="77777777" w:rsidR="008C676E" w:rsidRDefault="008C676E">
            <w:pPr>
              <w:spacing w:after="0" w:line="240" w:lineRule="auto"/>
              <w:jc w:val="right"/>
              <w:rPr>
                <w:rFonts w:ascii="Arial" w:eastAsia="Times New Roman" w:hAnsi="Arial" w:cs="Arial"/>
                <w:sz w:val="18"/>
                <w:szCs w:val="18"/>
                <w:lang w:eastAsia="en-GB"/>
              </w:rPr>
            </w:pPr>
          </w:p>
        </w:tc>
      </w:tr>
    </w:tbl>
    <w:p w14:paraId="04B302F3" w14:textId="77777777" w:rsidR="008C676E" w:rsidRDefault="008C676E" w:rsidP="008C676E"/>
    <w:p w14:paraId="447BDE0E" w14:textId="77777777" w:rsidR="00177EF6" w:rsidRDefault="00177EF6" w:rsidP="008C676E"/>
    <w:p w14:paraId="25CE94EF" w14:textId="77777777" w:rsidR="00177EF6" w:rsidRDefault="00177EF6" w:rsidP="008C676E"/>
    <w:p w14:paraId="249F626A" w14:textId="77777777" w:rsidR="008C676E" w:rsidRDefault="008C676E" w:rsidP="008C676E"/>
    <w:p w14:paraId="118F5454" w14:textId="7F225ADB" w:rsidR="008C676E" w:rsidRDefault="00D01DDA" w:rsidP="008C676E">
      <w:pPr>
        <w:spacing w:after="0" w:line="240" w:lineRule="auto"/>
        <w:jc w:val="both"/>
        <w:rPr>
          <w:rFonts w:ascii="Arial" w:eastAsia="Times New Roman" w:hAnsi="Arial" w:cs="Arial"/>
          <w:sz w:val="32"/>
          <w:szCs w:val="32"/>
          <w:lang w:eastAsia="en-GB"/>
        </w:rPr>
      </w:pPr>
      <w:r>
        <w:rPr>
          <w:rFonts w:ascii="Arial" w:eastAsia="Times New Roman" w:hAnsi="Arial" w:cs="Arial"/>
          <w:sz w:val="32"/>
          <w:szCs w:val="32"/>
          <w:lang w:eastAsia="en-GB"/>
        </w:rPr>
        <w:lastRenderedPageBreak/>
        <w:t>Unaudited c</w:t>
      </w:r>
      <w:r w:rsidR="008C676E">
        <w:rPr>
          <w:rFonts w:ascii="Arial" w:eastAsia="Times New Roman" w:hAnsi="Arial" w:cs="Arial"/>
          <w:sz w:val="32"/>
          <w:szCs w:val="32"/>
          <w:lang w:eastAsia="en-GB"/>
        </w:rPr>
        <w:t xml:space="preserve">onsolidated statement of financial position </w:t>
      </w:r>
    </w:p>
    <w:p w14:paraId="42A2C97F" w14:textId="77777777" w:rsidR="008C676E" w:rsidRDefault="008C676E" w:rsidP="008C676E">
      <w:pPr>
        <w:spacing w:after="0" w:line="240" w:lineRule="auto"/>
        <w:jc w:val="both"/>
        <w:rPr>
          <w:rFonts w:ascii="Arial" w:eastAsia="Times New Roman" w:hAnsi="Arial" w:cs="Arial"/>
          <w:sz w:val="20"/>
          <w:szCs w:val="20"/>
          <w:lang w:eastAsia="en-GB"/>
        </w:rPr>
      </w:pPr>
    </w:p>
    <w:p w14:paraId="7A18E2B4" w14:textId="77777777" w:rsidR="008C676E" w:rsidRDefault="008C676E" w:rsidP="008C676E">
      <w:pPr>
        <w:spacing w:after="0"/>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As </w:t>
      </w:r>
      <w:proofErr w:type="gramStart"/>
      <w:r>
        <w:rPr>
          <w:rFonts w:ascii="Arial" w:eastAsia="Times New Roman" w:hAnsi="Arial" w:cs="Arial"/>
          <w:sz w:val="20"/>
          <w:szCs w:val="20"/>
          <w:lang w:eastAsia="en-GB"/>
        </w:rPr>
        <w:t>at</w:t>
      </w:r>
      <w:proofErr w:type="gramEnd"/>
      <w:r>
        <w:rPr>
          <w:rFonts w:ascii="Arial" w:eastAsia="Times New Roman" w:hAnsi="Arial" w:cs="Arial"/>
          <w:sz w:val="20"/>
          <w:szCs w:val="20"/>
          <w:lang w:eastAsia="en-GB"/>
        </w:rPr>
        <w:t xml:space="preserve"> 31 March 2024</w:t>
      </w:r>
    </w:p>
    <w:p w14:paraId="27BDFDDE" w14:textId="77777777" w:rsidR="008C676E" w:rsidRDefault="008C676E" w:rsidP="008C676E">
      <w:pPr>
        <w:spacing w:after="0"/>
        <w:jc w:val="both"/>
        <w:rPr>
          <w:rFonts w:ascii="Arial" w:hAnsi="Arial" w:cs="Arial"/>
          <w:sz w:val="20"/>
          <w:szCs w:val="20"/>
        </w:rPr>
      </w:pPr>
    </w:p>
    <w:tbl>
      <w:tblPr>
        <w:tblW w:w="9752" w:type="dxa"/>
        <w:tblLook w:val="04A0" w:firstRow="1" w:lastRow="0" w:firstColumn="1" w:lastColumn="0" w:noHBand="0" w:noVBand="1"/>
      </w:tblPr>
      <w:tblGrid>
        <w:gridCol w:w="5896"/>
        <w:gridCol w:w="794"/>
        <w:gridCol w:w="1531"/>
        <w:gridCol w:w="1531"/>
      </w:tblGrid>
      <w:tr w:rsidR="008C676E" w14:paraId="2AD0C53A" w14:textId="77777777" w:rsidTr="008C676E">
        <w:trPr>
          <w:trHeight w:val="261"/>
        </w:trPr>
        <w:tc>
          <w:tcPr>
            <w:tcW w:w="5896" w:type="dxa"/>
            <w:noWrap/>
            <w:vAlign w:val="bottom"/>
          </w:tcPr>
          <w:p w14:paraId="3EC0E578" w14:textId="77777777" w:rsidR="008C676E" w:rsidRDefault="008C676E">
            <w:pPr>
              <w:spacing w:after="0" w:line="240" w:lineRule="auto"/>
              <w:rPr>
                <w:rFonts w:ascii="Arial" w:eastAsia="Times New Roman" w:hAnsi="Arial" w:cs="Arial"/>
                <w:sz w:val="18"/>
                <w:szCs w:val="18"/>
                <w:lang w:eastAsia="en-GB"/>
              </w:rPr>
            </w:pPr>
          </w:p>
        </w:tc>
        <w:tc>
          <w:tcPr>
            <w:tcW w:w="794" w:type="dxa"/>
            <w:vAlign w:val="bottom"/>
            <w:hideMark/>
          </w:tcPr>
          <w:p w14:paraId="093012CD" w14:textId="77777777" w:rsidR="008C676E" w:rsidRDefault="008C676E">
            <w:pPr>
              <w:spacing w:after="0" w:line="240" w:lineRule="auto"/>
              <w:jc w:val="center"/>
              <w:rPr>
                <w:rFonts w:ascii="Arial" w:eastAsia="Times New Roman" w:hAnsi="Arial" w:cs="Arial"/>
                <w:sz w:val="18"/>
                <w:szCs w:val="18"/>
                <w:lang w:eastAsia="en-GB"/>
              </w:rPr>
            </w:pPr>
            <w:r>
              <w:rPr>
                <w:rFonts w:ascii="Arial" w:eastAsia="Times New Roman" w:hAnsi="Arial" w:cs="Arial"/>
                <w:b/>
                <w:bCs/>
                <w:sz w:val="18"/>
                <w:szCs w:val="18"/>
                <w:lang w:eastAsia="en-GB"/>
              </w:rPr>
              <w:t>Note</w:t>
            </w:r>
          </w:p>
        </w:tc>
        <w:tc>
          <w:tcPr>
            <w:tcW w:w="1531" w:type="dxa"/>
            <w:vAlign w:val="bottom"/>
            <w:hideMark/>
          </w:tcPr>
          <w:p w14:paraId="144DECA9"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2024</w:t>
            </w:r>
          </w:p>
        </w:tc>
        <w:tc>
          <w:tcPr>
            <w:tcW w:w="1531" w:type="dxa"/>
            <w:vAlign w:val="bottom"/>
            <w:hideMark/>
          </w:tcPr>
          <w:p w14:paraId="0C7CCCFD"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b/>
                <w:bCs/>
                <w:sz w:val="18"/>
                <w:szCs w:val="18"/>
                <w:lang w:eastAsia="en-GB"/>
              </w:rPr>
              <w:t>2023</w:t>
            </w:r>
          </w:p>
        </w:tc>
      </w:tr>
      <w:tr w:rsidR="008C676E" w14:paraId="1C2394E1" w14:textId="77777777" w:rsidTr="008C676E">
        <w:trPr>
          <w:trHeight w:val="261"/>
        </w:trPr>
        <w:tc>
          <w:tcPr>
            <w:tcW w:w="5896" w:type="dxa"/>
            <w:tcBorders>
              <w:top w:val="nil"/>
              <w:left w:val="nil"/>
              <w:bottom w:val="single" w:sz="4" w:space="0" w:color="auto"/>
              <w:right w:val="nil"/>
            </w:tcBorders>
            <w:noWrap/>
            <w:vAlign w:val="center"/>
          </w:tcPr>
          <w:p w14:paraId="262B0835" w14:textId="77777777" w:rsidR="008C676E" w:rsidRDefault="008C676E">
            <w:pPr>
              <w:spacing w:after="0" w:line="240" w:lineRule="auto"/>
              <w:rPr>
                <w:rFonts w:ascii="Arial" w:eastAsia="Times New Roman" w:hAnsi="Arial" w:cs="Arial"/>
                <w:sz w:val="18"/>
                <w:szCs w:val="18"/>
                <w:lang w:eastAsia="en-GB"/>
              </w:rPr>
            </w:pPr>
          </w:p>
        </w:tc>
        <w:tc>
          <w:tcPr>
            <w:tcW w:w="794" w:type="dxa"/>
            <w:tcBorders>
              <w:top w:val="nil"/>
              <w:left w:val="nil"/>
              <w:bottom w:val="single" w:sz="4" w:space="0" w:color="auto"/>
              <w:right w:val="nil"/>
            </w:tcBorders>
          </w:tcPr>
          <w:p w14:paraId="5BE68D54"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nil"/>
              <w:left w:val="nil"/>
              <w:bottom w:val="single" w:sz="4" w:space="0" w:color="auto"/>
              <w:right w:val="nil"/>
            </w:tcBorders>
            <w:vAlign w:val="bottom"/>
            <w:hideMark/>
          </w:tcPr>
          <w:p w14:paraId="36C8B292"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c>
          <w:tcPr>
            <w:tcW w:w="1531" w:type="dxa"/>
            <w:tcBorders>
              <w:top w:val="nil"/>
              <w:left w:val="nil"/>
              <w:bottom w:val="single" w:sz="4" w:space="0" w:color="auto"/>
              <w:right w:val="nil"/>
            </w:tcBorders>
            <w:vAlign w:val="bottom"/>
            <w:hideMark/>
          </w:tcPr>
          <w:p w14:paraId="4C7769D3"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b/>
                <w:bCs/>
                <w:sz w:val="18"/>
                <w:szCs w:val="18"/>
                <w:lang w:eastAsia="en-GB"/>
              </w:rPr>
              <w:t>£’m</w:t>
            </w:r>
          </w:p>
        </w:tc>
      </w:tr>
      <w:tr w:rsidR="008C676E" w14:paraId="15B13C6A" w14:textId="77777777" w:rsidTr="008C676E">
        <w:trPr>
          <w:trHeight w:val="261"/>
        </w:trPr>
        <w:tc>
          <w:tcPr>
            <w:tcW w:w="5896" w:type="dxa"/>
            <w:tcBorders>
              <w:top w:val="single" w:sz="4" w:space="0" w:color="auto"/>
              <w:left w:val="nil"/>
              <w:bottom w:val="nil"/>
              <w:right w:val="nil"/>
            </w:tcBorders>
            <w:noWrap/>
            <w:vAlign w:val="center"/>
            <w:hideMark/>
          </w:tcPr>
          <w:p w14:paraId="1C132B52"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EQUITY</w:t>
            </w:r>
          </w:p>
        </w:tc>
        <w:tc>
          <w:tcPr>
            <w:tcW w:w="794" w:type="dxa"/>
            <w:tcBorders>
              <w:top w:val="single" w:sz="4" w:space="0" w:color="auto"/>
              <w:left w:val="nil"/>
              <w:bottom w:val="nil"/>
              <w:right w:val="nil"/>
            </w:tcBorders>
            <w:vAlign w:val="center"/>
          </w:tcPr>
          <w:p w14:paraId="2671A961"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nil"/>
              <w:right w:val="nil"/>
            </w:tcBorders>
            <w:vAlign w:val="bottom"/>
          </w:tcPr>
          <w:p w14:paraId="717BB7BE" w14:textId="77777777" w:rsidR="008C676E" w:rsidRDefault="008C676E">
            <w:pPr>
              <w:spacing w:after="0" w:line="240" w:lineRule="auto"/>
              <w:jc w:val="right"/>
              <w:rPr>
                <w:rFonts w:ascii="Arial" w:eastAsia="Times New Roman" w:hAnsi="Arial" w:cs="Arial"/>
                <w:b/>
                <w:bCs/>
                <w:sz w:val="18"/>
                <w:szCs w:val="18"/>
                <w:lang w:eastAsia="en-GB"/>
              </w:rPr>
            </w:pPr>
          </w:p>
        </w:tc>
        <w:tc>
          <w:tcPr>
            <w:tcW w:w="1531" w:type="dxa"/>
            <w:tcBorders>
              <w:top w:val="single" w:sz="4" w:space="0" w:color="auto"/>
              <w:left w:val="nil"/>
              <w:bottom w:val="nil"/>
              <w:right w:val="nil"/>
            </w:tcBorders>
            <w:vAlign w:val="bottom"/>
          </w:tcPr>
          <w:p w14:paraId="3244D522" w14:textId="77777777" w:rsidR="008C676E" w:rsidRDefault="008C676E">
            <w:pPr>
              <w:spacing w:after="0" w:line="240" w:lineRule="auto"/>
              <w:jc w:val="right"/>
              <w:rPr>
                <w:rFonts w:ascii="Arial" w:eastAsia="Times New Roman" w:hAnsi="Arial" w:cs="Arial"/>
                <w:sz w:val="18"/>
                <w:szCs w:val="18"/>
                <w:lang w:eastAsia="en-GB"/>
              </w:rPr>
            </w:pPr>
          </w:p>
        </w:tc>
      </w:tr>
      <w:tr w:rsidR="008C676E" w14:paraId="2E7C81D0" w14:textId="77777777" w:rsidTr="008C676E">
        <w:trPr>
          <w:trHeight w:val="261"/>
        </w:trPr>
        <w:tc>
          <w:tcPr>
            <w:tcW w:w="5896" w:type="dxa"/>
            <w:noWrap/>
            <w:vAlign w:val="center"/>
            <w:hideMark/>
          </w:tcPr>
          <w:p w14:paraId="4B6777CA"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Share capital</w:t>
            </w:r>
          </w:p>
        </w:tc>
        <w:tc>
          <w:tcPr>
            <w:tcW w:w="794" w:type="dxa"/>
            <w:vAlign w:val="center"/>
            <w:hideMark/>
          </w:tcPr>
          <w:p w14:paraId="5B6B4C95" w14:textId="64049152" w:rsidR="008C676E" w:rsidRDefault="005E386C">
            <w:pPr>
              <w:spacing w:after="0" w:line="240" w:lineRule="auto"/>
              <w:jc w:val="center"/>
              <w:rPr>
                <w:rFonts w:ascii="Arial" w:hAnsi="Arial" w:cs="Arial"/>
                <w:sz w:val="18"/>
                <w:szCs w:val="18"/>
              </w:rPr>
            </w:pPr>
            <w:r>
              <w:rPr>
                <w:rFonts w:ascii="Arial" w:hAnsi="Arial" w:cs="Arial"/>
                <w:sz w:val="18"/>
                <w:szCs w:val="18"/>
              </w:rPr>
              <w:t>11</w:t>
            </w:r>
          </w:p>
        </w:tc>
        <w:tc>
          <w:tcPr>
            <w:tcW w:w="1531" w:type="dxa"/>
            <w:vAlign w:val="bottom"/>
            <w:hideMark/>
          </w:tcPr>
          <w:p w14:paraId="3E65E5EB"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48.4</w:t>
            </w:r>
          </w:p>
        </w:tc>
        <w:tc>
          <w:tcPr>
            <w:tcW w:w="1531" w:type="dxa"/>
            <w:vAlign w:val="bottom"/>
            <w:hideMark/>
          </w:tcPr>
          <w:p w14:paraId="66323086"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47.9</w:t>
            </w:r>
          </w:p>
        </w:tc>
      </w:tr>
      <w:tr w:rsidR="008C676E" w14:paraId="73743B10" w14:textId="77777777" w:rsidTr="008C676E">
        <w:trPr>
          <w:trHeight w:val="261"/>
        </w:trPr>
        <w:tc>
          <w:tcPr>
            <w:tcW w:w="5896" w:type="dxa"/>
            <w:noWrap/>
            <w:vAlign w:val="center"/>
            <w:hideMark/>
          </w:tcPr>
          <w:p w14:paraId="798CC913"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Share premium</w:t>
            </w:r>
          </w:p>
        </w:tc>
        <w:tc>
          <w:tcPr>
            <w:tcW w:w="794" w:type="dxa"/>
            <w:vAlign w:val="center"/>
            <w:hideMark/>
          </w:tcPr>
          <w:p w14:paraId="290AC6CE" w14:textId="1E47EA1B" w:rsidR="008C676E" w:rsidRDefault="005E386C">
            <w:pPr>
              <w:spacing w:after="0" w:line="240" w:lineRule="auto"/>
              <w:jc w:val="center"/>
              <w:rPr>
                <w:rFonts w:ascii="Arial" w:hAnsi="Arial" w:cs="Arial"/>
                <w:sz w:val="18"/>
                <w:szCs w:val="18"/>
              </w:rPr>
            </w:pPr>
            <w:r>
              <w:rPr>
                <w:rFonts w:ascii="Arial" w:hAnsi="Arial" w:cs="Arial"/>
                <w:sz w:val="18"/>
                <w:szCs w:val="18"/>
              </w:rPr>
              <w:t>12</w:t>
            </w:r>
          </w:p>
        </w:tc>
        <w:tc>
          <w:tcPr>
            <w:tcW w:w="1531" w:type="dxa"/>
            <w:vAlign w:val="bottom"/>
            <w:hideMark/>
          </w:tcPr>
          <w:p w14:paraId="1D798BB4"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1.3</w:t>
            </w:r>
          </w:p>
        </w:tc>
        <w:tc>
          <w:tcPr>
            <w:tcW w:w="1531" w:type="dxa"/>
            <w:vAlign w:val="bottom"/>
            <w:hideMark/>
          </w:tcPr>
          <w:p w14:paraId="5AF13B13"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384.8</w:t>
            </w:r>
          </w:p>
        </w:tc>
      </w:tr>
      <w:tr w:rsidR="008C676E" w14:paraId="4CCF1048" w14:textId="77777777" w:rsidTr="008C676E">
        <w:trPr>
          <w:trHeight w:val="261"/>
        </w:trPr>
        <w:tc>
          <w:tcPr>
            <w:tcW w:w="5896" w:type="dxa"/>
            <w:noWrap/>
            <w:vAlign w:val="center"/>
            <w:hideMark/>
          </w:tcPr>
          <w:p w14:paraId="4D0ADBFC" w14:textId="77777777" w:rsidR="008C676E" w:rsidRDefault="008C676E">
            <w:pPr>
              <w:spacing w:after="0" w:line="240" w:lineRule="auto"/>
              <w:rPr>
                <w:rFonts w:ascii="Arial" w:hAnsi="Arial" w:cs="Arial"/>
                <w:sz w:val="18"/>
                <w:szCs w:val="18"/>
              </w:rPr>
            </w:pPr>
            <w:r>
              <w:rPr>
                <w:rFonts w:ascii="Arial" w:hAnsi="Arial" w:cs="Arial"/>
                <w:sz w:val="18"/>
                <w:szCs w:val="18"/>
              </w:rPr>
              <w:t>Merger reserve</w:t>
            </w:r>
          </w:p>
        </w:tc>
        <w:tc>
          <w:tcPr>
            <w:tcW w:w="794" w:type="dxa"/>
            <w:vAlign w:val="center"/>
            <w:hideMark/>
          </w:tcPr>
          <w:p w14:paraId="34A62019" w14:textId="47ECD630" w:rsidR="008C676E" w:rsidRDefault="008C676E">
            <w:pPr>
              <w:spacing w:after="0" w:line="240" w:lineRule="auto"/>
              <w:jc w:val="center"/>
              <w:rPr>
                <w:rFonts w:ascii="Arial" w:hAnsi="Arial" w:cs="Arial"/>
                <w:sz w:val="18"/>
                <w:szCs w:val="18"/>
              </w:rPr>
            </w:pPr>
          </w:p>
        </w:tc>
        <w:tc>
          <w:tcPr>
            <w:tcW w:w="1531" w:type="dxa"/>
            <w:vAlign w:val="bottom"/>
            <w:hideMark/>
          </w:tcPr>
          <w:p w14:paraId="642A38D8" w14:textId="77777777" w:rsidR="008C676E" w:rsidRDefault="008C676E">
            <w:pPr>
              <w:spacing w:after="0" w:line="240" w:lineRule="auto"/>
              <w:jc w:val="right"/>
              <w:rPr>
                <w:rFonts w:ascii="Arial" w:hAnsi="Arial" w:cs="Arial"/>
                <w:b/>
                <w:bCs/>
                <w:sz w:val="18"/>
                <w:szCs w:val="18"/>
              </w:rPr>
            </w:pPr>
            <w:r>
              <w:rPr>
                <w:rFonts w:ascii="Arial" w:hAnsi="Arial" w:cs="Arial"/>
                <w:b/>
                <w:bCs/>
                <w:sz w:val="18"/>
                <w:szCs w:val="18"/>
              </w:rPr>
              <w:t>12.5</w:t>
            </w:r>
          </w:p>
        </w:tc>
        <w:tc>
          <w:tcPr>
            <w:tcW w:w="1531" w:type="dxa"/>
            <w:vAlign w:val="bottom"/>
            <w:hideMark/>
          </w:tcPr>
          <w:p w14:paraId="42D3A789" w14:textId="77777777" w:rsidR="008C676E" w:rsidRDefault="008C676E">
            <w:pPr>
              <w:spacing w:after="0" w:line="240" w:lineRule="auto"/>
              <w:jc w:val="right"/>
              <w:rPr>
                <w:rFonts w:ascii="Arial" w:hAnsi="Arial" w:cs="Arial"/>
                <w:sz w:val="18"/>
                <w:szCs w:val="18"/>
              </w:rPr>
            </w:pPr>
            <w:r>
              <w:rPr>
                <w:rFonts w:ascii="Arial" w:hAnsi="Arial" w:cs="Arial"/>
                <w:sz w:val="18"/>
                <w:szCs w:val="18"/>
              </w:rPr>
              <w:t>9.9</w:t>
            </w:r>
          </w:p>
        </w:tc>
      </w:tr>
      <w:tr w:rsidR="008C676E" w14:paraId="0FE7FFD8" w14:textId="77777777" w:rsidTr="008C676E">
        <w:trPr>
          <w:trHeight w:val="261"/>
        </w:trPr>
        <w:tc>
          <w:tcPr>
            <w:tcW w:w="5896" w:type="dxa"/>
            <w:noWrap/>
            <w:vAlign w:val="center"/>
            <w:hideMark/>
          </w:tcPr>
          <w:p w14:paraId="3EB06802" w14:textId="77777777" w:rsidR="008C676E" w:rsidRDefault="008C676E">
            <w:pPr>
              <w:spacing w:after="0" w:line="240" w:lineRule="auto"/>
              <w:rPr>
                <w:rFonts w:ascii="Arial" w:eastAsia="Times New Roman" w:hAnsi="Arial" w:cs="Arial"/>
                <w:sz w:val="18"/>
                <w:szCs w:val="18"/>
                <w:lang w:eastAsia="en-GB"/>
              </w:rPr>
            </w:pPr>
            <w:r>
              <w:rPr>
                <w:rFonts w:ascii="Arial" w:hAnsi="Arial" w:cs="Arial"/>
                <w:sz w:val="18"/>
                <w:szCs w:val="18"/>
              </w:rPr>
              <w:t>Other reserves</w:t>
            </w:r>
          </w:p>
        </w:tc>
        <w:tc>
          <w:tcPr>
            <w:tcW w:w="794" w:type="dxa"/>
            <w:vAlign w:val="center"/>
            <w:hideMark/>
          </w:tcPr>
          <w:p w14:paraId="1092E401" w14:textId="63E1DB1C" w:rsidR="008C676E" w:rsidRDefault="008C676E">
            <w:pPr>
              <w:spacing w:after="0" w:line="240" w:lineRule="auto"/>
              <w:jc w:val="center"/>
              <w:rPr>
                <w:rFonts w:ascii="Arial" w:hAnsi="Arial" w:cs="Arial"/>
                <w:sz w:val="18"/>
                <w:szCs w:val="18"/>
              </w:rPr>
            </w:pPr>
          </w:p>
        </w:tc>
        <w:tc>
          <w:tcPr>
            <w:tcW w:w="1531" w:type="dxa"/>
            <w:vAlign w:val="bottom"/>
            <w:hideMark/>
          </w:tcPr>
          <w:p w14:paraId="6E41B494"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4.5</w:t>
            </w:r>
          </w:p>
        </w:tc>
        <w:tc>
          <w:tcPr>
            <w:tcW w:w="1531" w:type="dxa"/>
            <w:vAlign w:val="bottom"/>
            <w:hideMark/>
          </w:tcPr>
          <w:p w14:paraId="69B99723"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4.6</w:t>
            </w:r>
          </w:p>
        </w:tc>
      </w:tr>
      <w:tr w:rsidR="008C676E" w14:paraId="67FB941F" w14:textId="77777777" w:rsidTr="008C676E">
        <w:trPr>
          <w:trHeight w:val="261"/>
        </w:trPr>
        <w:tc>
          <w:tcPr>
            <w:tcW w:w="5896" w:type="dxa"/>
            <w:tcBorders>
              <w:top w:val="nil"/>
              <w:left w:val="nil"/>
              <w:bottom w:val="single" w:sz="4" w:space="0" w:color="auto"/>
              <w:right w:val="nil"/>
            </w:tcBorders>
            <w:noWrap/>
            <w:vAlign w:val="center"/>
            <w:hideMark/>
          </w:tcPr>
          <w:p w14:paraId="524ECB0C" w14:textId="77777777" w:rsidR="008C676E" w:rsidRDefault="008C676E">
            <w:pPr>
              <w:spacing w:after="0" w:line="240" w:lineRule="auto"/>
              <w:rPr>
                <w:rFonts w:ascii="Arial" w:eastAsia="Times New Roman" w:hAnsi="Arial" w:cs="Arial"/>
                <w:b/>
                <w:bCs/>
                <w:sz w:val="18"/>
                <w:szCs w:val="18"/>
                <w:lang w:eastAsia="en-GB"/>
              </w:rPr>
            </w:pPr>
            <w:r>
              <w:rPr>
                <w:rFonts w:ascii="Arial" w:hAnsi="Arial" w:cs="Arial"/>
                <w:sz w:val="18"/>
                <w:szCs w:val="18"/>
              </w:rPr>
              <w:t>Retained earnings/(deficit)</w:t>
            </w:r>
          </w:p>
        </w:tc>
        <w:tc>
          <w:tcPr>
            <w:tcW w:w="794" w:type="dxa"/>
            <w:tcBorders>
              <w:top w:val="nil"/>
              <w:left w:val="nil"/>
              <w:bottom w:val="single" w:sz="4" w:space="0" w:color="auto"/>
              <w:right w:val="nil"/>
            </w:tcBorders>
            <w:vAlign w:val="center"/>
          </w:tcPr>
          <w:p w14:paraId="33D07370" w14:textId="77777777" w:rsidR="008C676E" w:rsidRDefault="008C676E">
            <w:pPr>
              <w:spacing w:after="0" w:line="240" w:lineRule="auto"/>
              <w:jc w:val="center"/>
              <w:rPr>
                <w:rFonts w:ascii="Arial" w:hAnsi="Arial" w:cs="Arial"/>
                <w:sz w:val="18"/>
                <w:szCs w:val="18"/>
                <w:highlight w:val="yellow"/>
              </w:rPr>
            </w:pPr>
          </w:p>
        </w:tc>
        <w:tc>
          <w:tcPr>
            <w:tcW w:w="1531" w:type="dxa"/>
            <w:tcBorders>
              <w:top w:val="nil"/>
              <w:left w:val="nil"/>
              <w:bottom w:val="single" w:sz="4" w:space="0" w:color="auto"/>
              <w:right w:val="nil"/>
            </w:tcBorders>
            <w:vAlign w:val="bottom"/>
            <w:hideMark/>
          </w:tcPr>
          <w:p w14:paraId="5EE94EA0"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370.8</w:t>
            </w:r>
          </w:p>
        </w:tc>
        <w:tc>
          <w:tcPr>
            <w:tcW w:w="1531" w:type="dxa"/>
            <w:tcBorders>
              <w:top w:val="nil"/>
              <w:left w:val="nil"/>
              <w:bottom w:val="single" w:sz="4" w:space="0" w:color="auto"/>
              <w:right w:val="nil"/>
            </w:tcBorders>
            <w:vAlign w:val="bottom"/>
            <w:hideMark/>
          </w:tcPr>
          <w:p w14:paraId="377A4025"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(3.9)</w:t>
            </w:r>
          </w:p>
        </w:tc>
      </w:tr>
      <w:tr w:rsidR="008C676E" w14:paraId="4A2AFF16" w14:textId="77777777" w:rsidTr="008C676E">
        <w:trPr>
          <w:trHeight w:val="261"/>
        </w:trPr>
        <w:tc>
          <w:tcPr>
            <w:tcW w:w="5896" w:type="dxa"/>
            <w:tcBorders>
              <w:top w:val="single" w:sz="4" w:space="0" w:color="auto"/>
              <w:left w:val="nil"/>
              <w:bottom w:val="double" w:sz="4" w:space="0" w:color="auto"/>
              <w:right w:val="nil"/>
            </w:tcBorders>
            <w:noWrap/>
            <w:vAlign w:val="center"/>
            <w:hideMark/>
          </w:tcPr>
          <w:p w14:paraId="396E4A72" w14:textId="77777777" w:rsidR="008C676E" w:rsidRDefault="008C676E">
            <w:pPr>
              <w:spacing w:after="0" w:line="240" w:lineRule="auto"/>
              <w:rPr>
                <w:rFonts w:ascii="Arial" w:hAnsi="Arial" w:cs="Arial"/>
                <w:sz w:val="18"/>
                <w:szCs w:val="18"/>
              </w:rPr>
            </w:pPr>
            <w:r>
              <w:rPr>
                <w:rFonts w:ascii="Arial" w:hAnsi="Arial" w:cs="Arial"/>
                <w:sz w:val="18"/>
                <w:szCs w:val="18"/>
              </w:rPr>
              <w:t>Equity attributable to owners of parent</w:t>
            </w:r>
          </w:p>
        </w:tc>
        <w:tc>
          <w:tcPr>
            <w:tcW w:w="794" w:type="dxa"/>
            <w:tcBorders>
              <w:top w:val="single" w:sz="4" w:space="0" w:color="auto"/>
              <w:left w:val="nil"/>
              <w:bottom w:val="double" w:sz="4" w:space="0" w:color="auto"/>
              <w:right w:val="nil"/>
            </w:tcBorders>
            <w:vAlign w:val="center"/>
          </w:tcPr>
          <w:p w14:paraId="572AC171" w14:textId="77777777" w:rsidR="008C676E" w:rsidRDefault="008C676E">
            <w:pPr>
              <w:spacing w:after="0" w:line="240" w:lineRule="auto"/>
              <w:jc w:val="center"/>
              <w:rPr>
                <w:rFonts w:ascii="Arial" w:hAnsi="Arial" w:cs="Arial"/>
                <w:sz w:val="18"/>
                <w:szCs w:val="18"/>
                <w:highlight w:val="yellow"/>
              </w:rPr>
            </w:pPr>
          </w:p>
        </w:tc>
        <w:tc>
          <w:tcPr>
            <w:tcW w:w="1531" w:type="dxa"/>
            <w:tcBorders>
              <w:top w:val="single" w:sz="4" w:space="0" w:color="auto"/>
              <w:left w:val="nil"/>
              <w:bottom w:val="double" w:sz="4" w:space="0" w:color="auto"/>
              <w:right w:val="nil"/>
            </w:tcBorders>
            <w:vAlign w:val="bottom"/>
            <w:hideMark/>
          </w:tcPr>
          <w:p w14:paraId="1E4BF793" w14:textId="77777777" w:rsidR="008C676E" w:rsidRDefault="008C676E">
            <w:pPr>
              <w:spacing w:after="0" w:line="240" w:lineRule="auto"/>
              <w:jc w:val="right"/>
              <w:rPr>
                <w:rFonts w:ascii="Arial" w:hAnsi="Arial" w:cs="Arial"/>
                <w:b/>
                <w:bCs/>
                <w:sz w:val="18"/>
                <w:szCs w:val="18"/>
              </w:rPr>
            </w:pPr>
            <w:r>
              <w:rPr>
                <w:rFonts w:ascii="Arial" w:hAnsi="Arial" w:cs="Arial"/>
                <w:b/>
                <w:bCs/>
                <w:sz w:val="18"/>
                <w:szCs w:val="18"/>
              </w:rPr>
              <w:t>437.5</w:t>
            </w:r>
          </w:p>
        </w:tc>
        <w:tc>
          <w:tcPr>
            <w:tcW w:w="1531" w:type="dxa"/>
            <w:tcBorders>
              <w:top w:val="single" w:sz="4" w:space="0" w:color="auto"/>
              <w:left w:val="nil"/>
              <w:bottom w:val="double" w:sz="4" w:space="0" w:color="auto"/>
              <w:right w:val="nil"/>
            </w:tcBorders>
            <w:vAlign w:val="bottom"/>
            <w:hideMark/>
          </w:tcPr>
          <w:p w14:paraId="63658EFA" w14:textId="77777777" w:rsidR="008C676E" w:rsidRDefault="008C676E">
            <w:pPr>
              <w:spacing w:after="0" w:line="240" w:lineRule="auto"/>
              <w:jc w:val="right"/>
              <w:rPr>
                <w:rFonts w:ascii="Arial" w:hAnsi="Arial" w:cs="Arial"/>
                <w:sz w:val="18"/>
                <w:szCs w:val="18"/>
              </w:rPr>
            </w:pPr>
            <w:r>
              <w:rPr>
                <w:rFonts w:ascii="Arial" w:hAnsi="Arial" w:cs="Arial"/>
                <w:sz w:val="18"/>
                <w:szCs w:val="18"/>
              </w:rPr>
              <w:t>443.3</w:t>
            </w:r>
          </w:p>
        </w:tc>
      </w:tr>
    </w:tbl>
    <w:p w14:paraId="6E88C8E7" w14:textId="77777777" w:rsidR="008C676E" w:rsidRDefault="008C676E" w:rsidP="008C676E">
      <w:pPr>
        <w:spacing w:after="0"/>
        <w:jc w:val="both"/>
        <w:rPr>
          <w:rFonts w:ascii="Arial" w:eastAsia="Times New Roman" w:hAnsi="Arial" w:cs="Arial"/>
          <w:sz w:val="20"/>
          <w:szCs w:val="20"/>
          <w:lang w:eastAsia="en-GB"/>
        </w:rPr>
      </w:pPr>
    </w:p>
    <w:p w14:paraId="0C517160" w14:textId="77777777" w:rsidR="008C676E" w:rsidRDefault="008C676E" w:rsidP="008C676E">
      <w:pPr>
        <w:spacing w:after="0"/>
        <w:jc w:val="both"/>
        <w:rPr>
          <w:rFonts w:ascii="Arial" w:eastAsia="Times New Roman" w:hAnsi="Arial" w:cs="Arial"/>
          <w:sz w:val="20"/>
          <w:szCs w:val="20"/>
          <w:lang w:eastAsia="en-GB"/>
        </w:rPr>
      </w:pPr>
    </w:p>
    <w:p w14:paraId="24EC11DD" w14:textId="77777777" w:rsidR="007D74AB" w:rsidRDefault="007D74AB" w:rsidP="008C676E">
      <w:pPr>
        <w:spacing w:after="0"/>
        <w:jc w:val="both"/>
        <w:rPr>
          <w:rFonts w:ascii="Arial" w:eastAsia="Times New Roman" w:hAnsi="Arial" w:cs="Arial"/>
          <w:sz w:val="20"/>
          <w:szCs w:val="20"/>
          <w:lang w:eastAsia="en-GB"/>
        </w:rPr>
      </w:pPr>
    </w:p>
    <w:p w14:paraId="4F62A90B" w14:textId="77777777" w:rsidR="007D74AB" w:rsidRDefault="007D74AB" w:rsidP="008C676E">
      <w:pPr>
        <w:spacing w:after="0"/>
        <w:jc w:val="both"/>
        <w:rPr>
          <w:rFonts w:ascii="Arial" w:eastAsia="Times New Roman" w:hAnsi="Arial" w:cs="Arial"/>
          <w:sz w:val="20"/>
          <w:szCs w:val="20"/>
          <w:lang w:eastAsia="en-GB"/>
        </w:rPr>
      </w:pPr>
    </w:p>
    <w:p w14:paraId="3AB9869A" w14:textId="77777777" w:rsidR="007D74AB" w:rsidRDefault="007D74AB" w:rsidP="008C676E">
      <w:pPr>
        <w:spacing w:after="0"/>
        <w:jc w:val="both"/>
        <w:rPr>
          <w:rFonts w:ascii="Arial" w:eastAsia="Times New Roman" w:hAnsi="Arial" w:cs="Arial"/>
          <w:sz w:val="20"/>
          <w:szCs w:val="20"/>
          <w:lang w:eastAsia="en-GB"/>
        </w:rPr>
      </w:pPr>
    </w:p>
    <w:p w14:paraId="20AABCBC" w14:textId="77777777" w:rsidR="007D74AB" w:rsidRDefault="007D74AB" w:rsidP="008C676E">
      <w:pPr>
        <w:spacing w:after="0"/>
        <w:jc w:val="both"/>
        <w:rPr>
          <w:rFonts w:ascii="Arial" w:eastAsia="Times New Roman" w:hAnsi="Arial" w:cs="Arial"/>
          <w:sz w:val="20"/>
          <w:szCs w:val="20"/>
          <w:lang w:eastAsia="en-GB"/>
        </w:rPr>
      </w:pPr>
    </w:p>
    <w:p w14:paraId="49AF9DB6" w14:textId="77777777" w:rsidR="007D74AB" w:rsidRDefault="007D74AB" w:rsidP="008C676E">
      <w:pPr>
        <w:spacing w:after="0"/>
        <w:jc w:val="both"/>
        <w:rPr>
          <w:rFonts w:ascii="Arial" w:eastAsia="Times New Roman" w:hAnsi="Arial" w:cs="Arial"/>
          <w:sz w:val="20"/>
          <w:szCs w:val="20"/>
          <w:lang w:eastAsia="en-GB"/>
        </w:rPr>
      </w:pPr>
    </w:p>
    <w:p w14:paraId="5D176459" w14:textId="77777777" w:rsidR="007D74AB" w:rsidRDefault="007D74AB" w:rsidP="008C676E">
      <w:pPr>
        <w:spacing w:after="0"/>
        <w:jc w:val="both"/>
        <w:rPr>
          <w:rFonts w:ascii="Arial" w:eastAsia="Times New Roman" w:hAnsi="Arial" w:cs="Arial"/>
          <w:sz w:val="20"/>
          <w:szCs w:val="20"/>
          <w:lang w:eastAsia="en-GB"/>
        </w:rPr>
      </w:pPr>
    </w:p>
    <w:p w14:paraId="0A6759C2" w14:textId="77777777" w:rsidR="007D74AB" w:rsidRDefault="007D74AB" w:rsidP="008C676E">
      <w:pPr>
        <w:spacing w:after="0"/>
        <w:jc w:val="both"/>
        <w:rPr>
          <w:rFonts w:ascii="Arial" w:eastAsia="Times New Roman" w:hAnsi="Arial" w:cs="Arial"/>
          <w:sz w:val="20"/>
          <w:szCs w:val="20"/>
          <w:lang w:eastAsia="en-GB"/>
        </w:rPr>
      </w:pPr>
    </w:p>
    <w:p w14:paraId="505A7510" w14:textId="77777777" w:rsidR="007D74AB" w:rsidRDefault="007D74AB" w:rsidP="008C676E">
      <w:pPr>
        <w:spacing w:after="0"/>
        <w:jc w:val="both"/>
        <w:rPr>
          <w:rFonts w:ascii="Arial" w:eastAsia="Times New Roman" w:hAnsi="Arial" w:cs="Arial"/>
          <w:sz w:val="20"/>
          <w:szCs w:val="20"/>
          <w:lang w:eastAsia="en-GB"/>
        </w:rPr>
      </w:pPr>
    </w:p>
    <w:p w14:paraId="3EF98FDC" w14:textId="77777777" w:rsidR="007D74AB" w:rsidRDefault="007D74AB" w:rsidP="008C676E">
      <w:pPr>
        <w:spacing w:after="0"/>
        <w:jc w:val="both"/>
        <w:rPr>
          <w:rFonts w:ascii="Arial" w:eastAsia="Times New Roman" w:hAnsi="Arial" w:cs="Arial"/>
          <w:sz w:val="20"/>
          <w:szCs w:val="20"/>
          <w:lang w:eastAsia="en-GB"/>
        </w:rPr>
      </w:pPr>
    </w:p>
    <w:p w14:paraId="7B85D1AD" w14:textId="77777777" w:rsidR="007D74AB" w:rsidRDefault="007D74AB" w:rsidP="008C676E">
      <w:pPr>
        <w:spacing w:after="0"/>
        <w:jc w:val="both"/>
        <w:rPr>
          <w:rFonts w:ascii="Arial" w:eastAsia="Times New Roman" w:hAnsi="Arial" w:cs="Arial"/>
          <w:sz w:val="20"/>
          <w:szCs w:val="20"/>
          <w:lang w:eastAsia="en-GB"/>
        </w:rPr>
      </w:pPr>
    </w:p>
    <w:p w14:paraId="1BDBDDA4" w14:textId="77777777" w:rsidR="007D74AB" w:rsidRDefault="007D74AB" w:rsidP="008C676E">
      <w:pPr>
        <w:spacing w:after="0"/>
        <w:jc w:val="both"/>
        <w:rPr>
          <w:rFonts w:ascii="Arial" w:eastAsia="Times New Roman" w:hAnsi="Arial" w:cs="Arial"/>
          <w:sz w:val="20"/>
          <w:szCs w:val="20"/>
          <w:lang w:eastAsia="en-GB"/>
        </w:rPr>
      </w:pPr>
    </w:p>
    <w:p w14:paraId="2760EDB8" w14:textId="77777777" w:rsidR="007D74AB" w:rsidRDefault="007D74AB" w:rsidP="008C676E">
      <w:pPr>
        <w:spacing w:after="0"/>
        <w:jc w:val="both"/>
        <w:rPr>
          <w:rFonts w:ascii="Arial" w:eastAsia="Times New Roman" w:hAnsi="Arial" w:cs="Arial"/>
          <w:sz w:val="20"/>
          <w:szCs w:val="20"/>
          <w:lang w:eastAsia="en-GB"/>
        </w:rPr>
      </w:pPr>
    </w:p>
    <w:p w14:paraId="72D71660" w14:textId="77777777" w:rsidR="007D74AB" w:rsidRDefault="007D74AB" w:rsidP="008C676E">
      <w:pPr>
        <w:spacing w:after="0"/>
        <w:jc w:val="both"/>
        <w:rPr>
          <w:rFonts w:ascii="Arial" w:eastAsia="Times New Roman" w:hAnsi="Arial" w:cs="Arial"/>
          <w:sz w:val="20"/>
          <w:szCs w:val="20"/>
          <w:lang w:eastAsia="en-GB"/>
        </w:rPr>
      </w:pPr>
    </w:p>
    <w:p w14:paraId="731F5F63" w14:textId="77777777" w:rsidR="007D74AB" w:rsidRDefault="007D74AB" w:rsidP="008C676E">
      <w:pPr>
        <w:spacing w:after="0"/>
        <w:jc w:val="both"/>
        <w:rPr>
          <w:rFonts w:ascii="Arial" w:eastAsia="Times New Roman" w:hAnsi="Arial" w:cs="Arial"/>
          <w:sz w:val="20"/>
          <w:szCs w:val="20"/>
          <w:lang w:eastAsia="en-GB"/>
        </w:rPr>
      </w:pPr>
    </w:p>
    <w:p w14:paraId="2B772740" w14:textId="77777777" w:rsidR="008C676E" w:rsidRDefault="008C676E" w:rsidP="008C676E">
      <w:pPr>
        <w:spacing w:after="0"/>
        <w:jc w:val="both"/>
        <w:rPr>
          <w:rFonts w:ascii="Arial" w:eastAsia="Times New Roman" w:hAnsi="Arial" w:cs="Arial"/>
          <w:sz w:val="20"/>
          <w:szCs w:val="20"/>
          <w:lang w:eastAsia="en-GB"/>
        </w:rPr>
      </w:pPr>
    </w:p>
    <w:p w14:paraId="15298A26" w14:textId="77777777" w:rsidR="008C676E" w:rsidRDefault="008C676E" w:rsidP="008C676E">
      <w:pPr>
        <w:spacing w:after="0"/>
        <w:jc w:val="both"/>
        <w:rPr>
          <w:rFonts w:ascii="Arial" w:eastAsia="Times New Roman" w:hAnsi="Arial" w:cs="Arial"/>
          <w:sz w:val="20"/>
          <w:szCs w:val="20"/>
          <w:lang w:eastAsia="en-GB"/>
        </w:rPr>
      </w:pPr>
    </w:p>
    <w:p w14:paraId="75A57EFF" w14:textId="77777777" w:rsidR="008C676E" w:rsidRDefault="008C676E" w:rsidP="008C676E">
      <w:pPr>
        <w:spacing w:after="0"/>
        <w:jc w:val="both"/>
        <w:rPr>
          <w:rFonts w:ascii="Arial" w:eastAsia="Times New Roman" w:hAnsi="Arial" w:cs="Arial"/>
          <w:sz w:val="20"/>
          <w:szCs w:val="20"/>
          <w:lang w:eastAsia="en-GB"/>
        </w:rPr>
      </w:pPr>
    </w:p>
    <w:p w14:paraId="6906051E" w14:textId="77777777" w:rsidR="008C676E" w:rsidRDefault="008C676E" w:rsidP="008C676E">
      <w:pPr>
        <w:spacing w:after="0"/>
        <w:jc w:val="both"/>
        <w:rPr>
          <w:rFonts w:ascii="Arial" w:eastAsia="Times New Roman" w:hAnsi="Arial" w:cs="Arial"/>
          <w:sz w:val="20"/>
          <w:szCs w:val="20"/>
          <w:lang w:eastAsia="en-GB"/>
        </w:rPr>
      </w:pPr>
    </w:p>
    <w:p w14:paraId="26FF3787" w14:textId="77777777" w:rsidR="008C676E" w:rsidRDefault="008C676E" w:rsidP="008C676E">
      <w:pPr>
        <w:spacing w:after="0"/>
        <w:jc w:val="both"/>
        <w:rPr>
          <w:rFonts w:ascii="Arial" w:eastAsia="Times New Roman" w:hAnsi="Arial" w:cs="Arial"/>
          <w:sz w:val="20"/>
          <w:szCs w:val="20"/>
          <w:lang w:eastAsia="en-GB"/>
        </w:rPr>
      </w:pPr>
    </w:p>
    <w:p w14:paraId="1611AE6B" w14:textId="77777777" w:rsidR="008A1149" w:rsidRDefault="008A1149" w:rsidP="008C676E">
      <w:pPr>
        <w:spacing w:after="0" w:line="240" w:lineRule="auto"/>
        <w:jc w:val="both"/>
        <w:rPr>
          <w:rFonts w:ascii="Arial" w:eastAsia="Times New Roman" w:hAnsi="Arial" w:cs="Arial"/>
          <w:sz w:val="20"/>
          <w:szCs w:val="20"/>
          <w:lang w:eastAsia="en-GB"/>
        </w:rPr>
      </w:pPr>
    </w:p>
    <w:p w14:paraId="72E15AA8" w14:textId="77777777" w:rsidR="00D01DDA" w:rsidRDefault="00D01DDA" w:rsidP="008C676E">
      <w:pPr>
        <w:spacing w:after="0" w:line="240" w:lineRule="auto"/>
        <w:jc w:val="both"/>
        <w:rPr>
          <w:rFonts w:ascii="Arial" w:eastAsia="Times New Roman" w:hAnsi="Arial" w:cs="Arial"/>
          <w:sz w:val="32"/>
          <w:szCs w:val="32"/>
          <w:lang w:eastAsia="en-GB"/>
        </w:rPr>
      </w:pPr>
    </w:p>
    <w:p w14:paraId="481E20B7" w14:textId="77777777" w:rsidR="00D01DDA" w:rsidRDefault="00D01DDA" w:rsidP="008C676E">
      <w:pPr>
        <w:spacing w:after="0" w:line="240" w:lineRule="auto"/>
        <w:jc w:val="both"/>
        <w:rPr>
          <w:rFonts w:ascii="Arial" w:eastAsia="Times New Roman" w:hAnsi="Arial" w:cs="Arial"/>
          <w:sz w:val="32"/>
          <w:szCs w:val="32"/>
          <w:lang w:eastAsia="en-GB"/>
        </w:rPr>
      </w:pPr>
    </w:p>
    <w:p w14:paraId="35FDBB37" w14:textId="77777777" w:rsidR="00D01DDA" w:rsidRDefault="00D01DDA" w:rsidP="008C676E">
      <w:pPr>
        <w:spacing w:after="0" w:line="240" w:lineRule="auto"/>
        <w:jc w:val="both"/>
        <w:rPr>
          <w:rFonts w:ascii="Arial" w:eastAsia="Times New Roman" w:hAnsi="Arial" w:cs="Arial"/>
          <w:sz w:val="32"/>
          <w:szCs w:val="32"/>
          <w:lang w:eastAsia="en-GB"/>
        </w:rPr>
      </w:pPr>
    </w:p>
    <w:p w14:paraId="6FC367FF" w14:textId="77777777" w:rsidR="00D01DDA" w:rsidRDefault="00D01DDA" w:rsidP="008C676E">
      <w:pPr>
        <w:spacing w:after="0" w:line="240" w:lineRule="auto"/>
        <w:jc w:val="both"/>
        <w:rPr>
          <w:rFonts w:ascii="Arial" w:eastAsia="Times New Roman" w:hAnsi="Arial" w:cs="Arial"/>
          <w:sz w:val="32"/>
          <w:szCs w:val="32"/>
          <w:lang w:eastAsia="en-GB"/>
        </w:rPr>
      </w:pPr>
    </w:p>
    <w:p w14:paraId="7D7CBC62" w14:textId="77777777" w:rsidR="00D01DDA" w:rsidRDefault="00D01DDA" w:rsidP="008C676E">
      <w:pPr>
        <w:spacing w:after="0" w:line="240" w:lineRule="auto"/>
        <w:jc w:val="both"/>
        <w:rPr>
          <w:rFonts w:ascii="Arial" w:eastAsia="Times New Roman" w:hAnsi="Arial" w:cs="Arial"/>
          <w:sz w:val="32"/>
          <w:szCs w:val="32"/>
          <w:lang w:eastAsia="en-GB"/>
        </w:rPr>
      </w:pPr>
    </w:p>
    <w:p w14:paraId="39398CFA" w14:textId="77777777" w:rsidR="0051500E" w:rsidRDefault="0051500E" w:rsidP="008C676E">
      <w:pPr>
        <w:spacing w:after="0" w:line="240" w:lineRule="auto"/>
        <w:jc w:val="both"/>
        <w:rPr>
          <w:rFonts w:ascii="Arial" w:eastAsia="Times New Roman" w:hAnsi="Arial" w:cs="Arial"/>
          <w:sz w:val="32"/>
          <w:szCs w:val="32"/>
          <w:lang w:eastAsia="en-GB"/>
        </w:rPr>
      </w:pPr>
    </w:p>
    <w:p w14:paraId="3A90EC62" w14:textId="77777777" w:rsidR="00ED68B7" w:rsidRDefault="00ED68B7" w:rsidP="008C676E">
      <w:pPr>
        <w:spacing w:after="0" w:line="240" w:lineRule="auto"/>
        <w:jc w:val="both"/>
        <w:rPr>
          <w:rFonts w:ascii="Arial" w:eastAsia="Times New Roman" w:hAnsi="Arial" w:cs="Arial"/>
          <w:sz w:val="32"/>
          <w:szCs w:val="32"/>
          <w:lang w:eastAsia="en-GB"/>
        </w:rPr>
      </w:pPr>
    </w:p>
    <w:p w14:paraId="4826C736" w14:textId="77777777" w:rsidR="00D01DDA" w:rsidRDefault="00D01DDA" w:rsidP="008C676E">
      <w:pPr>
        <w:spacing w:after="0" w:line="240" w:lineRule="auto"/>
        <w:jc w:val="both"/>
        <w:rPr>
          <w:rFonts w:ascii="Arial" w:eastAsia="Times New Roman" w:hAnsi="Arial" w:cs="Arial"/>
          <w:sz w:val="32"/>
          <w:szCs w:val="32"/>
          <w:lang w:eastAsia="en-GB"/>
        </w:rPr>
      </w:pPr>
    </w:p>
    <w:p w14:paraId="47627095" w14:textId="77777777" w:rsidR="00D01DDA" w:rsidRDefault="00D01DDA" w:rsidP="008C676E">
      <w:pPr>
        <w:spacing w:after="0" w:line="240" w:lineRule="auto"/>
        <w:jc w:val="both"/>
        <w:rPr>
          <w:rFonts w:ascii="Arial" w:eastAsia="Times New Roman" w:hAnsi="Arial" w:cs="Arial"/>
          <w:sz w:val="32"/>
          <w:szCs w:val="32"/>
          <w:lang w:eastAsia="en-GB"/>
        </w:rPr>
      </w:pPr>
    </w:p>
    <w:p w14:paraId="4399FC2A" w14:textId="77777777" w:rsidR="00D01DDA" w:rsidRDefault="00D01DDA" w:rsidP="008C676E">
      <w:pPr>
        <w:spacing w:after="0" w:line="240" w:lineRule="auto"/>
        <w:jc w:val="both"/>
        <w:rPr>
          <w:rFonts w:ascii="Arial" w:eastAsia="Times New Roman" w:hAnsi="Arial" w:cs="Arial"/>
          <w:sz w:val="32"/>
          <w:szCs w:val="32"/>
          <w:lang w:eastAsia="en-GB"/>
        </w:rPr>
      </w:pPr>
    </w:p>
    <w:p w14:paraId="026B4786" w14:textId="77777777" w:rsidR="00D01DDA" w:rsidRDefault="00D01DDA" w:rsidP="008C676E">
      <w:pPr>
        <w:spacing w:after="0" w:line="240" w:lineRule="auto"/>
        <w:jc w:val="both"/>
        <w:rPr>
          <w:rFonts w:ascii="Arial" w:eastAsia="Times New Roman" w:hAnsi="Arial" w:cs="Arial"/>
          <w:sz w:val="32"/>
          <w:szCs w:val="32"/>
          <w:lang w:eastAsia="en-GB"/>
        </w:rPr>
      </w:pPr>
    </w:p>
    <w:p w14:paraId="633A1F21" w14:textId="77777777" w:rsidR="00D01DDA" w:rsidRDefault="00D01DDA" w:rsidP="008C676E">
      <w:pPr>
        <w:spacing w:after="0" w:line="240" w:lineRule="auto"/>
        <w:jc w:val="both"/>
        <w:rPr>
          <w:rFonts w:ascii="Arial" w:eastAsia="Times New Roman" w:hAnsi="Arial" w:cs="Arial"/>
          <w:sz w:val="32"/>
          <w:szCs w:val="32"/>
          <w:lang w:eastAsia="en-GB"/>
        </w:rPr>
      </w:pPr>
    </w:p>
    <w:p w14:paraId="4CCFC4B5" w14:textId="77777777" w:rsidR="00177EF6" w:rsidRDefault="00177EF6" w:rsidP="008C676E">
      <w:pPr>
        <w:spacing w:after="0" w:line="240" w:lineRule="auto"/>
        <w:jc w:val="both"/>
        <w:rPr>
          <w:rFonts w:ascii="Arial" w:eastAsia="Times New Roman" w:hAnsi="Arial" w:cs="Arial"/>
          <w:sz w:val="32"/>
          <w:szCs w:val="32"/>
          <w:lang w:eastAsia="en-GB"/>
        </w:rPr>
      </w:pPr>
    </w:p>
    <w:p w14:paraId="1F990569" w14:textId="4A2894CE" w:rsidR="008C676E" w:rsidRDefault="00D01DDA" w:rsidP="008C676E">
      <w:pPr>
        <w:spacing w:after="0" w:line="240" w:lineRule="auto"/>
        <w:jc w:val="both"/>
        <w:rPr>
          <w:rFonts w:ascii="Arial" w:eastAsia="Times New Roman" w:hAnsi="Arial" w:cs="Arial"/>
          <w:sz w:val="32"/>
          <w:szCs w:val="32"/>
          <w:lang w:eastAsia="en-GB"/>
        </w:rPr>
      </w:pPr>
      <w:r>
        <w:rPr>
          <w:rFonts w:ascii="Arial" w:eastAsia="Times New Roman" w:hAnsi="Arial" w:cs="Arial"/>
          <w:sz w:val="32"/>
          <w:szCs w:val="32"/>
          <w:lang w:eastAsia="en-GB"/>
        </w:rPr>
        <w:lastRenderedPageBreak/>
        <w:t>Unaudited c</w:t>
      </w:r>
      <w:r w:rsidR="008C676E">
        <w:rPr>
          <w:rFonts w:ascii="Arial" w:eastAsia="Times New Roman" w:hAnsi="Arial" w:cs="Arial"/>
          <w:sz w:val="32"/>
          <w:szCs w:val="32"/>
          <w:lang w:eastAsia="en-GB"/>
        </w:rPr>
        <w:t>onsolidated statement of cash flows</w:t>
      </w:r>
    </w:p>
    <w:p w14:paraId="4C715F6A" w14:textId="77777777" w:rsidR="008C676E" w:rsidRDefault="008C676E" w:rsidP="008C676E">
      <w:pPr>
        <w:spacing w:after="0" w:line="240" w:lineRule="auto"/>
        <w:jc w:val="both"/>
        <w:rPr>
          <w:rFonts w:ascii="Arial" w:eastAsia="Times New Roman" w:hAnsi="Arial" w:cs="Arial"/>
          <w:sz w:val="20"/>
          <w:szCs w:val="20"/>
          <w:lang w:eastAsia="en-GB"/>
        </w:rPr>
      </w:pPr>
    </w:p>
    <w:p w14:paraId="34665048" w14:textId="77777777" w:rsidR="008C676E" w:rsidRDefault="008C676E" w:rsidP="008C676E">
      <w:pPr>
        <w:spacing w:after="0"/>
        <w:jc w:val="both"/>
        <w:rPr>
          <w:rFonts w:ascii="Arial" w:eastAsia="Times New Roman" w:hAnsi="Arial" w:cs="Arial"/>
          <w:sz w:val="20"/>
          <w:szCs w:val="20"/>
          <w:lang w:eastAsia="en-GB"/>
        </w:rPr>
      </w:pPr>
      <w:r>
        <w:rPr>
          <w:rFonts w:ascii="Arial" w:eastAsia="Times New Roman" w:hAnsi="Arial" w:cs="Arial"/>
          <w:sz w:val="20"/>
          <w:szCs w:val="20"/>
          <w:lang w:eastAsia="en-GB"/>
        </w:rPr>
        <w:t>For the year ended 31 March 2024</w:t>
      </w:r>
    </w:p>
    <w:p w14:paraId="5422ADC6" w14:textId="77777777" w:rsidR="008C676E" w:rsidRDefault="008C676E" w:rsidP="008C676E">
      <w:pPr>
        <w:spacing w:after="0"/>
        <w:jc w:val="both"/>
        <w:rPr>
          <w:rFonts w:ascii="Arial" w:hAnsi="Arial" w:cs="Arial"/>
          <w:sz w:val="20"/>
          <w:szCs w:val="20"/>
        </w:rPr>
      </w:pPr>
    </w:p>
    <w:tbl>
      <w:tblPr>
        <w:tblW w:w="9753" w:type="dxa"/>
        <w:tblLook w:val="04A0" w:firstRow="1" w:lastRow="0" w:firstColumn="1" w:lastColumn="0" w:noHBand="0" w:noVBand="1"/>
      </w:tblPr>
      <w:tblGrid>
        <w:gridCol w:w="5896"/>
        <w:gridCol w:w="794"/>
        <w:gridCol w:w="1531"/>
        <w:gridCol w:w="1532"/>
      </w:tblGrid>
      <w:tr w:rsidR="008C676E" w14:paraId="3FE154BB" w14:textId="77777777" w:rsidTr="008C676E">
        <w:trPr>
          <w:trHeight w:val="283"/>
        </w:trPr>
        <w:tc>
          <w:tcPr>
            <w:tcW w:w="5896" w:type="dxa"/>
            <w:tcBorders>
              <w:top w:val="nil"/>
              <w:left w:val="nil"/>
              <w:bottom w:val="single" w:sz="4" w:space="0" w:color="auto"/>
              <w:right w:val="nil"/>
            </w:tcBorders>
            <w:noWrap/>
            <w:vAlign w:val="bottom"/>
            <w:hideMark/>
          </w:tcPr>
          <w:p w14:paraId="51717A0B" w14:textId="77777777" w:rsidR="008C676E" w:rsidRDefault="008C676E">
            <w:pPr>
              <w:rPr>
                <w:rFonts w:ascii="Arial" w:hAnsi="Arial" w:cs="Arial"/>
                <w:sz w:val="20"/>
                <w:szCs w:val="20"/>
              </w:rPr>
            </w:pPr>
          </w:p>
        </w:tc>
        <w:tc>
          <w:tcPr>
            <w:tcW w:w="794" w:type="dxa"/>
            <w:tcBorders>
              <w:top w:val="nil"/>
              <w:left w:val="nil"/>
              <w:bottom w:val="single" w:sz="4" w:space="0" w:color="auto"/>
              <w:right w:val="nil"/>
            </w:tcBorders>
            <w:vAlign w:val="bottom"/>
            <w:hideMark/>
          </w:tcPr>
          <w:p w14:paraId="0963CE2B" w14:textId="77777777" w:rsidR="008C676E" w:rsidRDefault="008C676E">
            <w:pPr>
              <w:spacing w:after="0" w:line="240" w:lineRule="auto"/>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Note</w:t>
            </w:r>
          </w:p>
        </w:tc>
        <w:tc>
          <w:tcPr>
            <w:tcW w:w="1531" w:type="dxa"/>
            <w:tcBorders>
              <w:top w:val="nil"/>
              <w:left w:val="nil"/>
              <w:bottom w:val="single" w:sz="4" w:space="0" w:color="auto"/>
              <w:right w:val="nil"/>
            </w:tcBorders>
            <w:vAlign w:val="bottom"/>
            <w:hideMark/>
          </w:tcPr>
          <w:p w14:paraId="54E8F6C0" w14:textId="11E18A2A"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 </w:t>
            </w:r>
          </w:p>
          <w:p w14:paraId="084F0742" w14:textId="147E333E"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 2024</w:t>
            </w:r>
          </w:p>
          <w:p w14:paraId="5AD62AD8"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c>
          <w:tcPr>
            <w:tcW w:w="1532" w:type="dxa"/>
            <w:tcBorders>
              <w:top w:val="nil"/>
              <w:left w:val="nil"/>
              <w:bottom w:val="single" w:sz="4" w:space="0" w:color="auto"/>
              <w:right w:val="nil"/>
            </w:tcBorders>
            <w:shd w:val="clear" w:color="auto" w:fill="FFFFFF" w:themeFill="background1"/>
            <w:noWrap/>
            <w:vAlign w:val="bottom"/>
            <w:hideMark/>
          </w:tcPr>
          <w:p w14:paraId="65367F53" w14:textId="48809E06"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 </w:t>
            </w:r>
          </w:p>
          <w:p w14:paraId="76BF91B4" w14:textId="093B377B"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2023</w:t>
            </w:r>
          </w:p>
          <w:p w14:paraId="2E459E94"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£’m</w:t>
            </w:r>
          </w:p>
        </w:tc>
      </w:tr>
      <w:tr w:rsidR="008C676E" w14:paraId="03477C91" w14:textId="77777777" w:rsidTr="008C676E">
        <w:trPr>
          <w:trHeight w:val="283"/>
        </w:trPr>
        <w:tc>
          <w:tcPr>
            <w:tcW w:w="5896" w:type="dxa"/>
            <w:tcBorders>
              <w:top w:val="single" w:sz="4" w:space="0" w:color="auto"/>
              <w:left w:val="nil"/>
              <w:bottom w:val="nil"/>
              <w:right w:val="nil"/>
            </w:tcBorders>
            <w:noWrap/>
            <w:vAlign w:val="center"/>
          </w:tcPr>
          <w:p w14:paraId="427C4FEB" w14:textId="77777777" w:rsidR="008C676E" w:rsidRDefault="008C676E">
            <w:pPr>
              <w:spacing w:after="0" w:line="240" w:lineRule="auto"/>
              <w:rPr>
                <w:rFonts w:ascii="Arial" w:eastAsia="Times New Roman" w:hAnsi="Arial" w:cs="Arial"/>
                <w:sz w:val="18"/>
                <w:szCs w:val="18"/>
                <w:lang w:eastAsia="en-GB"/>
              </w:rPr>
            </w:pPr>
          </w:p>
        </w:tc>
        <w:tc>
          <w:tcPr>
            <w:tcW w:w="794" w:type="dxa"/>
            <w:tcBorders>
              <w:top w:val="single" w:sz="4" w:space="0" w:color="auto"/>
              <w:left w:val="nil"/>
              <w:bottom w:val="nil"/>
              <w:right w:val="nil"/>
            </w:tcBorders>
            <w:vAlign w:val="bottom"/>
          </w:tcPr>
          <w:p w14:paraId="3612B6E0" w14:textId="77777777" w:rsidR="008C676E" w:rsidRDefault="008C676E">
            <w:pPr>
              <w:spacing w:after="0" w:line="240" w:lineRule="auto"/>
              <w:jc w:val="center"/>
              <w:rPr>
                <w:rFonts w:ascii="Arial" w:hAnsi="Arial" w:cs="Arial"/>
                <w:sz w:val="18"/>
                <w:szCs w:val="18"/>
              </w:rPr>
            </w:pPr>
          </w:p>
        </w:tc>
        <w:tc>
          <w:tcPr>
            <w:tcW w:w="1531" w:type="dxa"/>
            <w:tcBorders>
              <w:top w:val="single" w:sz="4" w:space="0" w:color="auto"/>
              <w:left w:val="nil"/>
              <w:bottom w:val="nil"/>
              <w:right w:val="nil"/>
            </w:tcBorders>
            <w:vAlign w:val="bottom"/>
          </w:tcPr>
          <w:p w14:paraId="06FE7450" w14:textId="77777777" w:rsidR="008C676E" w:rsidRDefault="008C676E">
            <w:pPr>
              <w:spacing w:after="0" w:line="240" w:lineRule="auto"/>
              <w:jc w:val="right"/>
              <w:rPr>
                <w:rFonts w:ascii="Arial" w:eastAsia="Times New Roman" w:hAnsi="Arial" w:cs="Arial"/>
                <w:b/>
                <w:bCs/>
                <w:sz w:val="18"/>
                <w:szCs w:val="18"/>
                <w:highlight w:val="yellow"/>
                <w:lang w:eastAsia="en-GB"/>
              </w:rPr>
            </w:pPr>
          </w:p>
        </w:tc>
        <w:tc>
          <w:tcPr>
            <w:tcW w:w="1532" w:type="dxa"/>
            <w:tcBorders>
              <w:top w:val="single" w:sz="4" w:space="0" w:color="auto"/>
              <w:left w:val="nil"/>
              <w:bottom w:val="nil"/>
              <w:right w:val="nil"/>
            </w:tcBorders>
            <w:shd w:val="clear" w:color="auto" w:fill="FFFFFF" w:themeFill="background1"/>
            <w:noWrap/>
            <w:vAlign w:val="bottom"/>
          </w:tcPr>
          <w:p w14:paraId="6AC0D8BB" w14:textId="77777777" w:rsidR="008C676E" w:rsidRDefault="008C676E">
            <w:pPr>
              <w:spacing w:after="0" w:line="240" w:lineRule="auto"/>
              <w:jc w:val="right"/>
              <w:rPr>
                <w:rFonts w:ascii="Arial" w:eastAsia="Times New Roman" w:hAnsi="Arial" w:cs="Arial"/>
                <w:b/>
                <w:bCs/>
                <w:sz w:val="18"/>
                <w:szCs w:val="18"/>
                <w:highlight w:val="yellow"/>
                <w:lang w:eastAsia="en-GB"/>
              </w:rPr>
            </w:pPr>
          </w:p>
        </w:tc>
      </w:tr>
      <w:tr w:rsidR="008C676E" w14:paraId="540AAE8C" w14:textId="77777777" w:rsidTr="008C676E">
        <w:trPr>
          <w:trHeight w:val="283"/>
        </w:trPr>
        <w:tc>
          <w:tcPr>
            <w:tcW w:w="5896" w:type="dxa"/>
            <w:noWrap/>
            <w:vAlign w:val="center"/>
            <w:hideMark/>
          </w:tcPr>
          <w:p w14:paraId="6882791A" w14:textId="63F9B2B8" w:rsidR="008C676E" w:rsidRDefault="0047354F">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C</w:t>
            </w:r>
            <w:r w:rsidR="008C676E">
              <w:rPr>
                <w:rFonts w:ascii="Arial" w:eastAsia="Times New Roman" w:hAnsi="Arial" w:cs="Arial"/>
                <w:b/>
                <w:bCs/>
                <w:sz w:val="18"/>
                <w:szCs w:val="18"/>
                <w:lang w:eastAsia="en-GB"/>
              </w:rPr>
              <w:t xml:space="preserve">ash generated from </w:t>
            </w:r>
            <w:r w:rsidR="00053015">
              <w:rPr>
                <w:rFonts w:ascii="Arial" w:eastAsia="Times New Roman" w:hAnsi="Arial" w:cs="Arial"/>
                <w:b/>
                <w:bCs/>
                <w:sz w:val="18"/>
                <w:szCs w:val="18"/>
                <w:lang w:eastAsia="en-GB"/>
              </w:rPr>
              <w:t>operations</w:t>
            </w:r>
          </w:p>
        </w:tc>
        <w:tc>
          <w:tcPr>
            <w:tcW w:w="794" w:type="dxa"/>
            <w:vAlign w:val="bottom"/>
            <w:hideMark/>
          </w:tcPr>
          <w:p w14:paraId="706CBDA6" w14:textId="7D4A39E5" w:rsidR="008C676E" w:rsidRDefault="005E386C">
            <w:pPr>
              <w:spacing w:after="0" w:line="240" w:lineRule="auto"/>
              <w:jc w:val="center"/>
              <w:rPr>
                <w:rFonts w:ascii="Arial" w:hAnsi="Arial" w:cs="Arial"/>
                <w:sz w:val="18"/>
                <w:szCs w:val="18"/>
              </w:rPr>
            </w:pPr>
            <w:r>
              <w:rPr>
                <w:rFonts w:ascii="Arial" w:hAnsi="Arial" w:cs="Arial"/>
                <w:sz w:val="18"/>
                <w:szCs w:val="18"/>
              </w:rPr>
              <w:t>13</w:t>
            </w:r>
          </w:p>
        </w:tc>
        <w:tc>
          <w:tcPr>
            <w:tcW w:w="1531" w:type="dxa"/>
            <w:vAlign w:val="bottom"/>
            <w:hideMark/>
          </w:tcPr>
          <w:p w14:paraId="16B48D08"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57.8</w:t>
            </w:r>
          </w:p>
        </w:tc>
        <w:tc>
          <w:tcPr>
            <w:tcW w:w="1532" w:type="dxa"/>
            <w:shd w:val="clear" w:color="auto" w:fill="FFFFFF" w:themeFill="background1"/>
            <w:noWrap/>
            <w:vAlign w:val="bottom"/>
            <w:hideMark/>
          </w:tcPr>
          <w:p w14:paraId="27932BF9"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50.5</w:t>
            </w:r>
          </w:p>
        </w:tc>
      </w:tr>
      <w:tr w:rsidR="008C676E" w14:paraId="3E38D2C4" w14:textId="77777777" w:rsidTr="00F72BA1">
        <w:trPr>
          <w:trHeight w:val="283"/>
        </w:trPr>
        <w:tc>
          <w:tcPr>
            <w:tcW w:w="5896" w:type="dxa"/>
            <w:noWrap/>
            <w:vAlign w:val="center"/>
            <w:hideMark/>
          </w:tcPr>
          <w:p w14:paraId="38D70874"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Net finance costs</w:t>
            </w:r>
          </w:p>
        </w:tc>
        <w:tc>
          <w:tcPr>
            <w:tcW w:w="794" w:type="dxa"/>
            <w:vAlign w:val="bottom"/>
          </w:tcPr>
          <w:p w14:paraId="2C6C0A95" w14:textId="77777777" w:rsidR="008C676E" w:rsidRDefault="008C676E">
            <w:pPr>
              <w:spacing w:after="0" w:line="240" w:lineRule="auto"/>
              <w:jc w:val="center"/>
              <w:rPr>
                <w:rFonts w:ascii="Arial" w:hAnsi="Arial" w:cs="Arial"/>
                <w:sz w:val="18"/>
                <w:szCs w:val="18"/>
              </w:rPr>
            </w:pPr>
          </w:p>
        </w:tc>
        <w:tc>
          <w:tcPr>
            <w:tcW w:w="1531" w:type="dxa"/>
            <w:vAlign w:val="bottom"/>
            <w:hideMark/>
          </w:tcPr>
          <w:p w14:paraId="47DEB1B2"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(17.8)</w:t>
            </w:r>
          </w:p>
        </w:tc>
        <w:tc>
          <w:tcPr>
            <w:tcW w:w="1532" w:type="dxa"/>
            <w:shd w:val="clear" w:color="auto" w:fill="FFFFFF" w:themeFill="background1"/>
            <w:noWrap/>
            <w:vAlign w:val="bottom"/>
            <w:hideMark/>
          </w:tcPr>
          <w:p w14:paraId="4553E303"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(8.6)</w:t>
            </w:r>
          </w:p>
        </w:tc>
      </w:tr>
      <w:tr w:rsidR="008C676E" w14:paraId="40A7DFD1" w14:textId="77777777" w:rsidTr="00F72BA1">
        <w:trPr>
          <w:trHeight w:val="283"/>
        </w:trPr>
        <w:tc>
          <w:tcPr>
            <w:tcW w:w="5896" w:type="dxa"/>
            <w:tcBorders>
              <w:top w:val="nil"/>
              <w:left w:val="nil"/>
              <w:right w:val="nil"/>
            </w:tcBorders>
            <w:noWrap/>
            <w:vAlign w:val="center"/>
            <w:hideMark/>
          </w:tcPr>
          <w:p w14:paraId="24FA7987" w14:textId="777777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sz w:val="18"/>
                <w:szCs w:val="18"/>
                <w:lang w:eastAsia="en-GB"/>
              </w:rPr>
              <w:t>Income taxes paid</w:t>
            </w:r>
          </w:p>
        </w:tc>
        <w:tc>
          <w:tcPr>
            <w:tcW w:w="794" w:type="dxa"/>
            <w:tcBorders>
              <w:top w:val="nil"/>
              <w:left w:val="nil"/>
              <w:right w:val="nil"/>
            </w:tcBorders>
            <w:vAlign w:val="bottom"/>
          </w:tcPr>
          <w:p w14:paraId="3814FF18" w14:textId="77777777" w:rsidR="008C676E" w:rsidRDefault="008C676E">
            <w:pPr>
              <w:spacing w:after="0" w:line="240" w:lineRule="auto"/>
              <w:jc w:val="center"/>
              <w:rPr>
                <w:rFonts w:ascii="Arial" w:hAnsi="Arial" w:cs="Arial"/>
                <w:sz w:val="18"/>
                <w:szCs w:val="18"/>
              </w:rPr>
            </w:pPr>
          </w:p>
        </w:tc>
        <w:tc>
          <w:tcPr>
            <w:tcW w:w="1531" w:type="dxa"/>
            <w:tcBorders>
              <w:top w:val="nil"/>
              <w:left w:val="nil"/>
              <w:right w:val="nil"/>
            </w:tcBorders>
            <w:vAlign w:val="bottom"/>
            <w:hideMark/>
          </w:tcPr>
          <w:p w14:paraId="188B0766"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(2.0)</w:t>
            </w:r>
          </w:p>
        </w:tc>
        <w:tc>
          <w:tcPr>
            <w:tcW w:w="1532" w:type="dxa"/>
            <w:tcBorders>
              <w:top w:val="nil"/>
              <w:left w:val="nil"/>
              <w:right w:val="nil"/>
            </w:tcBorders>
            <w:shd w:val="clear" w:color="auto" w:fill="FFFFFF" w:themeFill="background1"/>
            <w:noWrap/>
            <w:vAlign w:val="bottom"/>
            <w:hideMark/>
          </w:tcPr>
          <w:p w14:paraId="28A79911"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(8.3)</w:t>
            </w:r>
          </w:p>
        </w:tc>
      </w:tr>
      <w:tr w:rsidR="008C676E" w14:paraId="105FE0F8" w14:textId="77777777" w:rsidTr="008C676E">
        <w:trPr>
          <w:trHeight w:val="283"/>
        </w:trPr>
        <w:tc>
          <w:tcPr>
            <w:tcW w:w="5896" w:type="dxa"/>
            <w:tcBorders>
              <w:top w:val="single" w:sz="4" w:space="0" w:color="auto"/>
              <w:left w:val="nil"/>
              <w:bottom w:val="single" w:sz="4" w:space="0" w:color="auto"/>
              <w:right w:val="nil"/>
            </w:tcBorders>
            <w:noWrap/>
            <w:vAlign w:val="center"/>
            <w:hideMark/>
          </w:tcPr>
          <w:p w14:paraId="03422913" w14:textId="239C0C7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b/>
                <w:bCs/>
                <w:sz w:val="18"/>
                <w:szCs w:val="18"/>
                <w:lang w:eastAsia="en-GB"/>
              </w:rPr>
              <w:t xml:space="preserve">Net cash generated from </w:t>
            </w:r>
            <w:r w:rsidR="00053015">
              <w:rPr>
                <w:rFonts w:ascii="Arial" w:eastAsia="Times New Roman" w:hAnsi="Arial" w:cs="Arial"/>
                <w:b/>
                <w:bCs/>
                <w:sz w:val="18"/>
                <w:szCs w:val="18"/>
                <w:lang w:eastAsia="en-GB"/>
              </w:rPr>
              <w:t>operations</w:t>
            </w:r>
          </w:p>
        </w:tc>
        <w:tc>
          <w:tcPr>
            <w:tcW w:w="794" w:type="dxa"/>
            <w:tcBorders>
              <w:top w:val="single" w:sz="4" w:space="0" w:color="auto"/>
              <w:left w:val="nil"/>
              <w:bottom w:val="single" w:sz="4" w:space="0" w:color="auto"/>
              <w:right w:val="nil"/>
            </w:tcBorders>
            <w:vAlign w:val="bottom"/>
          </w:tcPr>
          <w:p w14:paraId="1C2E70B5"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single" w:sz="4" w:space="0" w:color="auto"/>
              <w:right w:val="nil"/>
            </w:tcBorders>
            <w:vAlign w:val="bottom"/>
            <w:hideMark/>
          </w:tcPr>
          <w:p w14:paraId="3CA68914" w14:textId="3496F7E4" w:rsidR="008C676E" w:rsidRDefault="007956AB">
            <w:pPr>
              <w:spacing w:after="0" w:line="240" w:lineRule="auto"/>
              <w:jc w:val="right"/>
              <w:rPr>
                <w:rFonts w:ascii="Arial" w:eastAsia="Times New Roman" w:hAnsi="Arial" w:cs="Arial"/>
                <w:b/>
                <w:bCs/>
                <w:sz w:val="18"/>
                <w:szCs w:val="18"/>
                <w:highlight w:val="yellow"/>
                <w:lang w:eastAsia="en-GB"/>
              </w:rPr>
            </w:pPr>
            <w:r>
              <w:rPr>
                <w:rFonts w:ascii="Arial" w:eastAsia="Times New Roman" w:hAnsi="Arial" w:cs="Arial"/>
                <w:b/>
                <w:bCs/>
                <w:sz w:val="18"/>
                <w:szCs w:val="18"/>
                <w:lang w:eastAsia="en-GB"/>
              </w:rPr>
              <w:t>3</w:t>
            </w:r>
            <w:r w:rsidR="00263A89">
              <w:rPr>
                <w:rFonts w:ascii="Arial" w:eastAsia="Times New Roman" w:hAnsi="Arial" w:cs="Arial"/>
                <w:b/>
                <w:bCs/>
                <w:sz w:val="18"/>
                <w:szCs w:val="18"/>
                <w:lang w:eastAsia="en-GB"/>
              </w:rPr>
              <w:t>8</w:t>
            </w:r>
            <w:r>
              <w:rPr>
                <w:rFonts w:ascii="Arial" w:eastAsia="Times New Roman" w:hAnsi="Arial" w:cs="Arial"/>
                <w:b/>
                <w:bCs/>
                <w:sz w:val="18"/>
                <w:szCs w:val="18"/>
                <w:lang w:eastAsia="en-GB"/>
              </w:rPr>
              <w:t>.</w:t>
            </w:r>
            <w:r w:rsidR="00263A89">
              <w:rPr>
                <w:rFonts w:ascii="Arial" w:eastAsia="Times New Roman" w:hAnsi="Arial" w:cs="Arial"/>
                <w:b/>
                <w:bCs/>
                <w:sz w:val="18"/>
                <w:szCs w:val="18"/>
                <w:lang w:eastAsia="en-GB"/>
              </w:rPr>
              <w:t>0</w:t>
            </w:r>
          </w:p>
        </w:tc>
        <w:tc>
          <w:tcPr>
            <w:tcW w:w="1532" w:type="dxa"/>
            <w:tcBorders>
              <w:top w:val="single" w:sz="4" w:space="0" w:color="auto"/>
              <w:left w:val="nil"/>
              <w:bottom w:val="single" w:sz="4" w:space="0" w:color="auto"/>
              <w:right w:val="nil"/>
            </w:tcBorders>
            <w:shd w:val="clear" w:color="auto" w:fill="FFFFFF" w:themeFill="background1"/>
            <w:noWrap/>
            <w:vAlign w:val="bottom"/>
            <w:hideMark/>
          </w:tcPr>
          <w:p w14:paraId="5BE58D05"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33.6</w:t>
            </w:r>
          </w:p>
        </w:tc>
      </w:tr>
      <w:tr w:rsidR="008C676E" w14:paraId="3F4145D1" w14:textId="77777777" w:rsidTr="008C676E">
        <w:trPr>
          <w:trHeight w:val="283"/>
        </w:trPr>
        <w:tc>
          <w:tcPr>
            <w:tcW w:w="5896" w:type="dxa"/>
            <w:tcBorders>
              <w:top w:val="single" w:sz="4" w:space="0" w:color="auto"/>
              <w:left w:val="nil"/>
              <w:bottom w:val="nil"/>
              <w:right w:val="nil"/>
            </w:tcBorders>
            <w:noWrap/>
            <w:vAlign w:val="center"/>
          </w:tcPr>
          <w:p w14:paraId="49465000" w14:textId="77777777" w:rsidR="008C676E" w:rsidRDefault="008C676E">
            <w:pPr>
              <w:spacing w:after="0" w:line="240" w:lineRule="auto"/>
              <w:rPr>
                <w:rFonts w:ascii="Arial" w:eastAsia="Times New Roman" w:hAnsi="Arial" w:cs="Arial"/>
                <w:b/>
                <w:bCs/>
                <w:sz w:val="18"/>
                <w:szCs w:val="18"/>
                <w:lang w:eastAsia="en-GB"/>
              </w:rPr>
            </w:pPr>
          </w:p>
        </w:tc>
        <w:tc>
          <w:tcPr>
            <w:tcW w:w="794" w:type="dxa"/>
            <w:tcBorders>
              <w:top w:val="single" w:sz="4" w:space="0" w:color="auto"/>
              <w:left w:val="nil"/>
              <w:bottom w:val="nil"/>
              <w:right w:val="nil"/>
            </w:tcBorders>
            <w:vAlign w:val="bottom"/>
          </w:tcPr>
          <w:p w14:paraId="2977FBE6"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nil"/>
              <w:right w:val="nil"/>
            </w:tcBorders>
            <w:vAlign w:val="bottom"/>
          </w:tcPr>
          <w:p w14:paraId="7B076F9B" w14:textId="77777777" w:rsidR="008C676E" w:rsidRDefault="008C676E">
            <w:pPr>
              <w:spacing w:after="0" w:line="240" w:lineRule="auto"/>
              <w:jc w:val="right"/>
              <w:rPr>
                <w:rFonts w:ascii="Arial" w:eastAsia="Times New Roman" w:hAnsi="Arial" w:cs="Arial"/>
                <w:b/>
                <w:bCs/>
                <w:sz w:val="18"/>
                <w:szCs w:val="18"/>
                <w:lang w:eastAsia="en-GB"/>
              </w:rPr>
            </w:pPr>
          </w:p>
        </w:tc>
        <w:tc>
          <w:tcPr>
            <w:tcW w:w="1532" w:type="dxa"/>
            <w:tcBorders>
              <w:top w:val="single" w:sz="4" w:space="0" w:color="auto"/>
              <w:left w:val="nil"/>
              <w:bottom w:val="nil"/>
              <w:right w:val="nil"/>
            </w:tcBorders>
            <w:shd w:val="clear" w:color="auto" w:fill="FFFFFF" w:themeFill="background1"/>
            <w:noWrap/>
            <w:vAlign w:val="bottom"/>
          </w:tcPr>
          <w:p w14:paraId="67519155" w14:textId="77777777" w:rsidR="008C676E" w:rsidRDefault="008C676E">
            <w:pPr>
              <w:spacing w:after="0" w:line="240" w:lineRule="auto"/>
              <w:jc w:val="right"/>
              <w:rPr>
                <w:rFonts w:ascii="Arial" w:eastAsia="Times New Roman" w:hAnsi="Arial" w:cs="Arial"/>
                <w:sz w:val="18"/>
                <w:szCs w:val="18"/>
                <w:lang w:eastAsia="en-GB"/>
              </w:rPr>
            </w:pPr>
          </w:p>
        </w:tc>
      </w:tr>
      <w:tr w:rsidR="008C676E" w14:paraId="04C217BC" w14:textId="77777777" w:rsidTr="008C676E">
        <w:trPr>
          <w:trHeight w:val="283"/>
        </w:trPr>
        <w:tc>
          <w:tcPr>
            <w:tcW w:w="5896" w:type="dxa"/>
            <w:noWrap/>
            <w:vAlign w:val="center"/>
            <w:hideMark/>
          </w:tcPr>
          <w:p w14:paraId="462037E5" w14:textId="77777777" w:rsidR="008C676E" w:rsidRDefault="008C676E">
            <w:pPr>
              <w:spacing w:after="0" w:line="240" w:lineRule="auto"/>
              <w:rPr>
                <w:rFonts w:ascii="Arial" w:eastAsia="Times New Roman" w:hAnsi="Arial" w:cs="Arial"/>
                <w:sz w:val="18"/>
                <w:szCs w:val="18"/>
                <w:lang w:eastAsia="en-GB"/>
              </w:rPr>
            </w:pPr>
            <w:bookmarkStart w:id="12" w:name="_Hlk529866722"/>
            <w:r>
              <w:rPr>
                <w:rFonts w:ascii="Arial" w:eastAsia="Times New Roman" w:hAnsi="Arial" w:cs="Arial"/>
                <w:b/>
                <w:bCs/>
                <w:sz w:val="18"/>
                <w:szCs w:val="18"/>
                <w:lang w:eastAsia="en-GB"/>
              </w:rPr>
              <w:t>Cash flows used in investing activities</w:t>
            </w:r>
            <w:bookmarkEnd w:id="12"/>
          </w:p>
        </w:tc>
        <w:tc>
          <w:tcPr>
            <w:tcW w:w="794" w:type="dxa"/>
            <w:vAlign w:val="bottom"/>
          </w:tcPr>
          <w:p w14:paraId="5D0D2548"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vAlign w:val="bottom"/>
          </w:tcPr>
          <w:p w14:paraId="5C5C13DF" w14:textId="77777777" w:rsidR="008C676E" w:rsidRDefault="008C676E">
            <w:pPr>
              <w:spacing w:after="0" w:line="240" w:lineRule="auto"/>
              <w:jc w:val="right"/>
              <w:rPr>
                <w:rFonts w:ascii="Arial" w:eastAsia="Times New Roman" w:hAnsi="Arial" w:cs="Arial"/>
                <w:b/>
                <w:bCs/>
                <w:sz w:val="18"/>
                <w:szCs w:val="18"/>
                <w:lang w:eastAsia="en-GB"/>
              </w:rPr>
            </w:pPr>
          </w:p>
        </w:tc>
        <w:tc>
          <w:tcPr>
            <w:tcW w:w="1532" w:type="dxa"/>
            <w:shd w:val="clear" w:color="auto" w:fill="FFFFFF" w:themeFill="background1"/>
            <w:noWrap/>
            <w:vAlign w:val="bottom"/>
          </w:tcPr>
          <w:p w14:paraId="53732E3F" w14:textId="77777777" w:rsidR="008C676E" w:rsidRDefault="008C676E">
            <w:pPr>
              <w:spacing w:after="0" w:line="240" w:lineRule="auto"/>
              <w:jc w:val="right"/>
              <w:rPr>
                <w:rFonts w:ascii="Arial" w:eastAsia="Times New Roman" w:hAnsi="Arial" w:cs="Arial"/>
                <w:sz w:val="18"/>
                <w:szCs w:val="18"/>
                <w:lang w:eastAsia="en-GB"/>
              </w:rPr>
            </w:pPr>
          </w:p>
        </w:tc>
      </w:tr>
      <w:tr w:rsidR="008C676E" w14:paraId="488D757A" w14:textId="77777777" w:rsidTr="008C676E">
        <w:trPr>
          <w:trHeight w:val="283"/>
        </w:trPr>
        <w:tc>
          <w:tcPr>
            <w:tcW w:w="5896" w:type="dxa"/>
            <w:noWrap/>
            <w:vAlign w:val="center"/>
            <w:hideMark/>
          </w:tcPr>
          <w:p w14:paraId="2515298B"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Purchase of property, plant and equipment and non-acquisition intangibles</w:t>
            </w:r>
          </w:p>
        </w:tc>
        <w:tc>
          <w:tcPr>
            <w:tcW w:w="794" w:type="dxa"/>
            <w:vAlign w:val="bottom"/>
          </w:tcPr>
          <w:p w14:paraId="37E76D59" w14:textId="77777777" w:rsidR="008C676E" w:rsidRDefault="008C676E">
            <w:pPr>
              <w:spacing w:after="0" w:line="240" w:lineRule="auto"/>
              <w:jc w:val="center"/>
              <w:rPr>
                <w:rFonts w:ascii="Arial" w:hAnsi="Arial" w:cs="Arial"/>
                <w:sz w:val="18"/>
                <w:szCs w:val="18"/>
              </w:rPr>
            </w:pPr>
          </w:p>
        </w:tc>
        <w:tc>
          <w:tcPr>
            <w:tcW w:w="1531" w:type="dxa"/>
            <w:vAlign w:val="bottom"/>
            <w:hideMark/>
          </w:tcPr>
          <w:p w14:paraId="445ABD7B"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(14.4)</w:t>
            </w:r>
          </w:p>
        </w:tc>
        <w:tc>
          <w:tcPr>
            <w:tcW w:w="1532" w:type="dxa"/>
            <w:shd w:val="clear" w:color="auto" w:fill="FFFFFF" w:themeFill="background1"/>
            <w:noWrap/>
            <w:vAlign w:val="bottom"/>
            <w:hideMark/>
          </w:tcPr>
          <w:p w14:paraId="682402D4" w14:textId="77777777" w:rsidR="008C676E" w:rsidRDefault="008C676E">
            <w:pPr>
              <w:spacing w:after="0" w:line="240" w:lineRule="auto"/>
              <w:jc w:val="right"/>
              <w:rPr>
                <w:rFonts w:ascii="Arial" w:hAnsi="Arial" w:cs="Arial"/>
                <w:sz w:val="18"/>
                <w:szCs w:val="18"/>
              </w:rPr>
            </w:pPr>
            <w:r>
              <w:rPr>
                <w:rFonts w:ascii="Arial" w:hAnsi="Arial" w:cs="Arial"/>
                <w:sz w:val="18"/>
                <w:szCs w:val="18"/>
              </w:rPr>
              <w:t>(16.4)</w:t>
            </w:r>
          </w:p>
        </w:tc>
      </w:tr>
      <w:tr w:rsidR="008C676E" w14:paraId="4C304BE7" w14:textId="77777777" w:rsidTr="008C676E">
        <w:trPr>
          <w:trHeight w:val="283"/>
        </w:trPr>
        <w:tc>
          <w:tcPr>
            <w:tcW w:w="5896" w:type="dxa"/>
            <w:noWrap/>
            <w:vAlign w:val="center"/>
            <w:hideMark/>
          </w:tcPr>
          <w:p w14:paraId="75E0A9D3"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Disposal of property, plant and equipment</w:t>
            </w:r>
          </w:p>
        </w:tc>
        <w:tc>
          <w:tcPr>
            <w:tcW w:w="794" w:type="dxa"/>
            <w:vAlign w:val="bottom"/>
          </w:tcPr>
          <w:p w14:paraId="46E0020E" w14:textId="77777777" w:rsidR="008C676E" w:rsidRDefault="008C676E">
            <w:pPr>
              <w:spacing w:after="0" w:line="240" w:lineRule="auto"/>
              <w:jc w:val="center"/>
              <w:rPr>
                <w:rFonts w:ascii="Arial" w:hAnsi="Arial" w:cs="Arial"/>
                <w:sz w:val="18"/>
                <w:szCs w:val="18"/>
              </w:rPr>
            </w:pPr>
          </w:p>
        </w:tc>
        <w:tc>
          <w:tcPr>
            <w:tcW w:w="1531" w:type="dxa"/>
            <w:vAlign w:val="bottom"/>
            <w:hideMark/>
          </w:tcPr>
          <w:p w14:paraId="1ABBBD69"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1.4</w:t>
            </w:r>
          </w:p>
        </w:tc>
        <w:tc>
          <w:tcPr>
            <w:tcW w:w="1532" w:type="dxa"/>
            <w:shd w:val="clear" w:color="auto" w:fill="FFFFFF" w:themeFill="background1"/>
            <w:noWrap/>
            <w:vAlign w:val="bottom"/>
            <w:hideMark/>
          </w:tcPr>
          <w:p w14:paraId="2F5E3552"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w:t>
            </w:r>
          </w:p>
        </w:tc>
      </w:tr>
      <w:tr w:rsidR="008C676E" w14:paraId="50F464B1" w14:textId="77777777" w:rsidTr="008C676E">
        <w:trPr>
          <w:trHeight w:val="283"/>
        </w:trPr>
        <w:tc>
          <w:tcPr>
            <w:tcW w:w="5896" w:type="dxa"/>
            <w:noWrap/>
            <w:vAlign w:val="center"/>
            <w:hideMark/>
          </w:tcPr>
          <w:p w14:paraId="73DCB0D6" w14:textId="24BA7D95"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w:t>
            </w:r>
            <w:r w:rsidR="007D74AB">
              <w:rPr>
                <w:rFonts w:ascii="Arial" w:eastAsia="Times New Roman" w:hAnsi="Arial" w:cs="Arial"/>
                <w:sz w:val="18"/>
                <w:szCs w:val="18"/>
                <w:lang w:eastAsia="en-GB"/>
              </w:rPr>
              <w:t>ontingent c</w:t>
            </w:r>
            <w:r>
              <w:rPr>
                <w:rFonts w:ascii="Arial" w:eastAsia="Times New Roman" w:hAnsi="Arial" w:cs="Arial"/>
                <w:sz w:val="18"/>
                <w:szCs w:val="18"/>
                <w:lang w:eastAsia="en-GB"/>
              </w:rPr>
              <w:t xml:space="preserve">onsideration received </w:t>
            </w:r>
          </w:p>
        </w:tc>
        <w:tc>
          <w:tcPr>
            <w:tcW w:w="794" w:type="dxa"/>
            <w:vAlign w:val="bottom"/>
          </w:tcPr>
          <w:p w14:paraId="7478EC5D" w14:textId="4D2DB1FF" w:rsidR="008C676E" w:rsidRDefault="008C676E">
            <w:pPr>
              <w:spacing w:after="0" w:line="240" w:lineRule="auto"/>
              <w:jc w:val="center"/>
              <w:rPr>
                <w:rFonts w:ascii="Arial" w:hAnsi="Arial" w:cs="Arial"/>
                <w:sz w:val="18"/>
                <w:szCs w:val="18"/>
              </w:rPr>
            </w:pPr>
          </w:p>
        </w:tc>
        <w:tc>
          <w:tcPr>
            <w:tcW w:w="1531" w:type="dxa"/>
            <w:vAlign w:val="bottom"/>
            <w:hideMark/>
          </w:tcPr>
          <w:p w14:paraId="5E1097E8"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4.3</w:t>
            </w:r>
          </w:p>
        </w:tc>
        <w:tc>
          <w:tcPr>
            <w:tcW w:w="1532" w:type="dxa"/>
            <w:shd w:val="clear" w:color="auto" w:fill="FFFFFF" w:themeFill="background1"/>
            <w:noWrap/>
            <w:vAlign w:val="bottom"/>
            <w:hideMark/>
          </w:tcPr>
          <w:p w14:paraId="3DA07D51"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8C676E" w14:paraId="208D14ED" w14:textId="77777777" w:rsidTr="008C676E">
        <w:trPr>
          <w:trHeight w:val="283"/>
        </w:trPr>
        <w:tc>
          <w:tcPr>
            <w:tcW w:w="5896" w:type="dxa"/>
            <w:noWrap/>
            <w:vAlign w:val="center"/>
            <w:hideMark/>
          </w:tcPr>
          <w:p w14:paraId="4AC7B317"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Purchase of subsidiary undertakings net of cash acquired</w:t>
            </w:r>
          </w:p>
        </w:tc>
        <w:tc>
          <w:tcPr>
            <w:tcW w:w="794" w:type="dxa"/>
            <w:vAlign w:val="bottom"/>
            <w:hideMark/>
          </w:tcPr>
          <w:p w14:paraId="6A2E5C8F" w14:textId="1EB0A452" w:rsidR="008C676E" w:rsidRDefault="005E386C">
            <w:pPr>
              <w:spacing w:after="0" w:line="240" w:lineRule="auto"/>
              <w:jc w:val="center"/>
              <w:rPr>
                <w:rFonts w:ascii="Arial" w:hAnsi="Arial" w:cs="Arial"/>
                <w:sz w:val="18"/>
                <w:szCs w:val="18"/>
              </w:rPr>
            </w:pPr>
            <w:r>
              <w:rPr>
                <w:rFonts w:ascii="Arial" w:hAnsi="Arial" w:cs="Arial"/>
                <w:sz w:val="18"/>
                <w:szCs w:val="18"/>
              </w:rPr>
              <w:t>7</w:t>
            </w:r>
          </w:p>
        </w:tc>
        <w:tc>
          <w:tcPr>
            <w:tcW w:w="1531" w:type="dxa"/>
            <w:vAlign w:val="bottom"/>
            <w:hideMark/>
          </w:tcPr>
          <w:p w14:paraId="0FA1C6AC" w14:textId="799CA3FE"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(3</w:t>
            </w:r>
            <w:r w:rsidR="007956AB">
              <w:rPr>
                <w:rFonts w:ascii="Arial" w:eastAsia="Times New Roman" w:hAnsi="Arial" w:cs="Arial"/>
                <w:b/>
                <w:bCs/>
                <w:sz w:val="18"/>
                <w:szCs w:val="18"/>
                <w:lang w:eastAsia="en-GB"/>
              </w:rPr>
              <w:t>1.7</w:t>
            </w:r>
            <w:r>
              <w:rPr>
                <w:rFonts w:ascii="Arial" w:eastAsia="Times New Roman" w:hAnsi="Arial" w:cs="Arial"/>
                <w:b/>
                <w:bCs/>
                <w:sz w:val="18"/>
                <w:szCs w:val="18"/>
                <w:lang w:eastAsia="en-GB"/>
              </w:rPr>
              <w:t>)</w:t>
            </w:r>
          </w:p>
        </w:tc>
        <w:tc>
          <w:tcPr>
            <w:tcW w:w="1532" w:type="dxa"/>
            <w:shd w:val="clear" w:color="auto" w:fill="FFFFFF" w:themeFill="background1"/>
            <w:noWrap/>
            <w:vAlign w:val="bottom"/>
            <w:hideMark/>
          </w:tcPr>
          <w:p w14:paraId="4C4F7D77"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(59.0)</w:t>
            </w:r>
          </w:p>
        </w:tc>
      </w:tr>
      <w:tr w:rsidR="008C676E" w14:paraId="2B1D7B9A" w14:textId="77777777" w:rsidTr="008C676E">
        <w:trPr>
          <w:trHeight w:val="283"/>
        </w:trPr>
        <w:tc>
          <w:tcPr>
            <w:tcW w:w="5896" w:type="dxa"/>
            <w:tcBorders>
              <w:top w:val="single" w:sz="4" w:space="0" w:color="auto"/>
              <w:left w:val="nil"/>
              <w:bottom w:val="single" w:sz="4" w:space="0" w:color="auto"/>
              <w:right w:val="nil"/>
            </w:tcBorders>
            <w:noWrap/>
            <w:vAlign w:val="center"/>
            <w:hideMark/>
          </w:tcPr>
          <w:p w14:paraId="5F6881A4"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Cash flows used in investing activities</w:t>
            </w:r>
          </w:p>
        </w:tc>
        <w:tc>
          <w:tcPr>
            <w:tcW w:w="794" w:type="dxa"/>
            <w:tcBorders>
              <w:top w:val="single" w:sz="4" w:space="0" w:color="auto"/>
              <w:left w:val="nil"/>
              <w:bottom w:val="single" w:sz="4" w:space="0" w:color="auto"/>
              <w:right w:val="nil"/>
            </w:tcBorders>
            <w:vAlign w:val="bottom"/>
          </w:tcPr>
          <w:p w14:paraId="47425D99" w14:textId="77777777" w:rsidR="008C676E" w:rsidRDefault="008C676E">
            <w:pPr>
              <w:spacing w:after="0" w:line="240" w:lineRule="auto"/>
              <w:jc w:val="center"/>
              <w:rPr>
                <w:rFonts w:ascii="Arial" w:eastAsia="Times New Roman" w:hAnsi="Arial" w:cs="Arial"/>
                <w:b/>
                <w:bCs/>
                <w:sz w:val="18"/>
                <w:szCs w:val="18"/>
                <w:lang w:eastAsia="en-GB"/>
              </w:rPr>
            </w:pPr>
          </w:p>
        </w:tc>
        <w:tc>
          <w:tcPr>
            <w:tcW w:w="1531" w:type="dxa"/>
            <w:tcBorders>
              <w:top w:val="single" w:sz="4" w:space="0" w:color="auto"/>
              <w:left w:val="nil"/>
              <w:bottom w:val="single" w:sz="4" w:space="0" w:color="auto"/>
              <w:right w:val="nil"/>
            </w:tcBorders>
            <w:vAlign w:val="bottom"/>
            <w:hideMark/>
          </w:tcPr>
          <w:p w14:paraId="580D9B6F" w14:textId="094C4F0C"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(4</w:t>
            </w:r>
            <w:r w:rsidR="007956AB">
              <w:rPr>
                <w:rFonts w:ascii="Arial" w:eastAsia="Times New Roman" w:hAnsi="Arial" w:cs="Arial"/>
                <w:b/>
                <w:bCs/>
                <w:sz w:val="18"/>
                <w:szCs w:val="18"/>
                <w:lang w:eastAsia="en-GB"/>
              </w:rPr>
              <w:t>0.4</w:t>
            </w:r>
            <w:r>
              <w:rPr>
                <w:rFonts w:ascii="Arial" w:eastAsia="Times New Roman" w:hAnsi="Arial" w:cs="Arial"/>
                <w:b/>
                <w:bCs/>
                <w:sz w:val="18"/>
                <w:szCs w:val="18"/>
                <w:lang w:eastAsia="en-GB"/>
              </w:rPr>
              <w:t>)</w:t>
            </w:r>
          </w:p>
        </w:tc>
        <w:tc>
          <w:tcPr>
            <w:tcW w:w="1532" w:type="dxa"/>
            <w:tcBorders>
              <w:top w:val="single" w:sz="4" w:space="0" w:color="auto"/>
              <w:left w:val="nil"/>
              <w:bottom w:val="single" w:sz="4" w:space="0" w:color="auto"/>
              <w:right w:val="nil"/>
            </w:tcBorders>
            <w:shd w:val="clear" w:color="auto" w:fill="FFFFFF" w:themeFill="background1"/>
            <w:noWrap/>
            <w:vAlign w:val="bottom"/>
            <w:hideMark/>
          </w:tcPr>
          <w:p w14:paraId="1D10DDE6"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(74.0)</w:t>
            </w:r>
          </w:p>
        </w:tc>
      </w:tr>
      <w:tr w:rsidR="008C676E" w14:paraId="5E9EA5F6" w14:textId="77777777" w:rsidTr="008C676E">
        <w:trPr>
          <w:trHeight w:val="283"/>
        </w:trPr>
        <w:tc>
          <w:tcPr>
            <w:tcW w:w="5896" w:type="dxa"/>
            <w:tcBorders>
              <w:top w:val="single" w:sz="4" w:space="0" w:color="auto"/>
              <w:left w:val="nil"/>
              <w:bottom w:val="nil"/>
              <w:right w:val="nil"/>
            </w:tcBorders>
            <w:noWrap/>
            <w:vAlign w:val="center"/>
          </w:tcPr>
          <w:p w14:paraId="251B7B85" w14:textId="77777777" w:rsidR="008C676E" w:rsidRDefault="008C676E">
            <w:pPr>
              <w:spacing w:after="0" w:line="240" w:lineRule="auto"/>
              <w:rPr>
                <w:rFonts w:ascii="Arial" w:eastAsia="Times New Roman" w:hAnsi="Arial" w:cs="Arial"/>
                <w:sz w:val="18"/>
                <w:szCs w:val="18"/>
                <w:highlight w:val="yellow"/>
                <w:lang w:eastAsia="en-GB"/>
              </w:rPr>
            </w:pPr>
          </w:p>
        </w:tc>
        <w:tc>
          <w:tcPr>
            <w:tcW w:w="794" w:type="dxa"/>
            <w:tcBorders>
              <w:top w:val="single" w:sz="4" w:space="0" w:color="auto"/>
              <w:left w:val="nil"/>
              <w:bottom w:val="nil"/>
              <w:right w:val="nil"/>
            </w:tcBorders>
            <w:vAlign w:val="bottom"/>
          </w:tcPr>
          <w:p w14:paraId="2A5E561D"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nil"/>
              <w:right w:val="nil"/>
            </w:tcBorders>
            <w:vAlign w:val="bottom"/>
          </w:tcPr>
          <w:p w14:paraId="001A643D" w14:textId="77777777" w:rsidR="008C676E" w:rsidRDefault="008C676E">
            <w:pPr>
              <w:spacing w:after="0" w:line="240" w:lineRule="auto"/>
              <w:jc w:val="right"/>
              <w:rPr>
                <w:rFonts w:ascii="Arial" w:eastAsia="Times New Roman" w:hAnsi="Arial" w:cs="Arial"/>
                <w:b/>
                <w:bCs/>
                <w:sz w:val="18"/>
                <w:szCs w:val="18"/>
                <w:lang w:eastAsia="en-GB"/>
              </w:rPr>
            </w:pPr>
          </w:p>
        </w:tc>
        <w:tc>
          <w:tcPr>
            <w:tcW w:w="1532" w:type="dxa"/>
            <w:tcBorders>
              <w:top w:val="single" w:sz="4" w:space="0" w:color="auto"/>
              <w:left w:val="nil"/>
              <w:bottom w:val="nil"/>
              <w:right w:val="nil"/>
            </w:tcBorders>
            <w:shd w:val="clear" w:color="auto" w:fill="FFFFFF" w:themeFill="background1"/>
            <w:noWrap/>
            <w:vAlign w:val="bottom"/>
          </w:tcPr>
          <w:p w14:paraId="0F843980" w14:textId="77777777" w:rsidR="008C676E" w:rsidRDefault="008C676E">
            <w:pPr>
              <w:spacing w:after="0" w:line="240" w:lineRule="auto"/>
              <w:jc w:val="right"/>
              <w:rPr>
                <w:rFonts w:ascii="Arial" w:eastAsia="Times New Roman" w:hAnsi="Arial" w:cs="Arial"/>
                <w:sz w:val="18"/>
                <w:szCs w:val="18"/>
                <w:lang w:eastAsia="en-GB"/>
              </w:rPr>
            </w:pPr>
          </w:p>
        </w:tc>
      </w:tr>
      <w:tr w:rsidR="008C676E" w14:paraId="6CA9FCCB" w14:textId="77777777" w:rsidTr="008C676E">
        <w:trPr>
          <w:trHeight w:val="283"/>
        </w:trPr>
        <w:tc>
          <w:tcPr>
            <w:tcW w:w="5896" w:type="dxa"/>
            <w:noWrap/>
            <w:vAlign w:val="center"/>
            <w:hideMark/>
          </w:tcPr>
          <w:p w14:paraId="0751BB00"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Cash flows from financing activities</w:t>
            </w:r>
          </w:p>
        </w:tc>
        <w:tc>
          <w:tcPr>
            <w:tcW w:w="794" w:type="dxa"/>
            <w:vAlign w:val="bottom"/>
          </w:tcPr>
          <w:p w14:paraId="657F9284" w14:textId="77777777" w:rsidR="008C676E" w:rsidRDefault="008C676E">
            <w:pPr>
              <w:spacing w:after="0" w:line="240" w:lineRule="auto"/>
              <w:jc w:val="center"/>
              <w:rPr>
                <w:rFonts w:ascii="Arial" w:hAnsi="Arial" w:cs="Arial"/>
                <w:sz w:val="18"/>
                <w:szCs w:val="18"/>
              </w:rPr>
            </w:pPr>
          </w:p>
        </w:tc>
        <w:tc>
          <w:tcPr>
            <w:tcW w:w="1531" w:type="dxa"/>
            <w:vAlign w:val="bottom"/>
          </w:tcPr>
          <w:p w14:paraId="6A24AF89" w14:textId="77777777" w:rsidR="008C676E" w:rsidRDefault="008C676E">
            <w:pPr>
              <w:spacing w:after="0" w:line="240" w:lineRule="auto"/>
              <w:jc w:val="right"/>
              <w:rPr>
                <w:rFonts w:ascii="Arial" w:eastAsia="Times New Roman" w:hAnsi="Arial" w:cs="Arial"/>
                <w:b/>
                <w:bCs/>
                <w:sz w:val="18"/>
                <w:szCs w:val="18"/>
                <w:lang w:eastAsia="en-GB"/>
              </w:rPr>
            </w:pPr>
          </w:p>
        </w:tc>
        <w:tc>
          <w:tcPr>
            <w:tcW w:w="1532" w:type="dxa"/>
            <w:shd w:val="clear" w:color="auto" w:fill="FFFFFF" w:themeFill="background1"/>
            <w:noWrap/>
            <w:vAlign w:val="bottom"/>
          </w:tcPr>
          <w:p w14:paraId="1C6F15F4" w14:textId="77777777" w:rsidR="008C676E" w:rsidRDefault="008C676E">
            <w:pPr>
              <w:spacing w:after="0" w:line="240" w:lineRule="auto"/>
              <w:jc w:val="right"/>
              <w:rPr>
                <w:rFonts w:ascii="Arial" w:eastAsia="Times New Roman" w:hAnsi="Arial" w:cs="Arial"/>
                <w:sz w:val="18"/>
                <w:szCs w:val="18"/>
                <w:lang w:eastAsia="en-GB"/>
              </w:rPr>
            </w:pPr>
          </w:p>
        </w:tc>
      </w:tr>
      <w:tr w:rsidR="008C676E" w14:paraId="781E509E" w14:textId="77777777" w:rsidTr="008C676E">
        <w:trPr>
          <w:trHeight w:val="283"/>
        </w:trPr>
        <w:tc>
          <w:tcPr>
            <w:tcW w:w="5896" w:type="dxa"/>
            <w:noWrap/>
            <w:vAlign w:val="center"/>
            <w:hideMark/>
          </w:tcPr>
          <w:p w14:paraId="5053D8B4"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Proceeds from share issues</w:t>
            </w:r>
          </w:p>
        </w:tc>
        <w:tc>
          <w:tcPr>
            <w:tcW w:w="794" w:type="dxa"/>
            <w:vAlign w:val="bottom"/>
          </w:tcPr>
          <w:p w14:paraId="3BAD4D07" w14:textId="77777777" w:rsidR="008C676E" w:rsidRDefault="008C676E">
            <w:pPr>
              <w:spacing w:after="0" w:line="240" w:lineRule="auto"/>
              <w:jc w:val="center"/>
              <w:rPr>
                <w:rFonts w:ascii="Arial" w:hAnsi="Arial" w:cs="Arial"/>
                <w:sz w:val="18"/>
                <w:szCs w:val="18"/>
              </w:rPr>
            </w:pPr>
          </w:p>
        </w:tc>
        <w:tc>
          <w:tcPr>
            <w:tcW w:w="1531" w:type="dxa"/>
            <w:vAlign w:val="bottom"/>
            <w:hideMark/>
          </w:tcPr>
          <w:p w14:paraId="0270E501"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1.5</w:t>
            </w:r>
          </w:p>
        </w:tc>
        <w:tc>
          <w:tcPr>
            <w:tcW w:w="1532" w:type="dxa"/>
            <w:shd w:val="clear" w:color="auto" w:fill="FFFFFF" w:themeFill="background1"/>
            <w:noWrap/>
            <w:vAlign w:val="bottom"/>
            <w:hideMark/>
          </w:tcPr>
          <w:p w14:paraId="400E1A93"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8C676E" w14:paraId="3C344E5E" w14:textId="77777777" w:rsidTr="008C676E">
        <w:trPr>
          <w:trHeight w:val="283"/>
        </w:trPr>
        <w:tc>
          <w:tcPr>
            <w:tcW w:w="5896" w:type="dxa"/>
            <w:noWrap/>
            <w:vAlign w:val="center"/>
            <w:hideMark/>
          </w:tcPr>
          <w:p w14:paraId="3E07BEBA"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Utilisation of debt facility</w:t>
            </w:r>
          </w:p>
        </w:tc>
        <w:tc>
          <w:tcPr>
            <w:tcW w:w="794" w:type="dxa"/>
            <w:vAlign w:val="bottom"/>
          </w:tcPr>
          <w:p w14:paraId="4A2CACD4" w14:textId="77777777" w:rsidR="008C676E" w:rsidRDefault="008C676E">
            <w:pPr>
              <w:spacing w:after="0" w:line="240" w:lineRule="auto"/>
              <w:jc w:val="center"/>
              <w:rPr>
                <w:rFonts w:ascii="Arial" w:hAnsi="Arial" w:cs="Arial"/>
                <w:sz w:val="18"/>
                <w:szCs w:val="18"/>
              </w:rPr>
            </w:pPr>
          </w:p>
        </w:tc>
        <w:tc>
          <w:tcPr>
            <w:tcW w:w="1531" w:type="dxa"/>
            <w:vAlign w:val="bottom"/>
            <w:hideMark/>
          </w:tcPr>
          <w:p w14:paraId="2EEF10E4"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51.3</w:t>
            </w:r>
          </w:p>
        </w:tc>
        <w:tc>
          <w:tcPr>
            <w:tcW w:w="1532" w:type="dxa"/>
            <w:shd w:val="clear" w:color="auto" w:fill="FFFFFF" w:themeFill="background1"/>
            <w:noWrap/>
            <w:vAlign w:val="bottom"/>
            <w:hideMark/>
          </w:tcPr>
          <w:p w14:paraId="2467C66F"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65.0</w:t>
            </w:r>
          </w:p>
        </w:tc>
      </w:tr>
      <w:tr w:rsidR="008C676E" w14:paraId="7E321F98" w14:textId="77777777" w:rsidTr="008C676E">
        <w:trPr>
          <w:trHeight w:val="283"/>
        </w:trPr>
        <w:tc>
          <w:tcPr>
            <w:tcW w:w="5896" w:type="dxa"/>
            <w:noWrap/>
            <w:vAlign w:val="center"/>
            <w:hideMark/>
          </w:tcPr>
          <w:p w14:paraId="3DAF2EE9"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Repayment of debt facility</w:t>
            </w:r>
          </w:p>
        </w:tc>
        <w:tc>
          <w:tcPr>
            <w:tcW w:w="794" w:type="dxa"/>
            <w:vAlign w:val="bottom"/>
          </w:tcPr>
          <w:p w14:paraId="04A7746B" w14:textId="77777777" w:rsidR="008C676E" w:rsidRDefault="008C676E">
            <w:pPr>
              <w:spacing w:after="0" w:line="240" w:lineRule="auto"/>
              <w:jc w:val="center"/>
              <w:rPr>
                <w:rFonts w:ascii="Arial" w:hAnsi="Arial" w:cs="Arial"/>
                <w:sz w:val="18"/>
                <w:szCs w:val="18"/>
              </w:rPr>
            </w:pPr>
          </w:p>
        </w:tc>
        <w:tc>
          <w:tcPr>
            <w:tcW w:w="1531" w:type="dxa"/>
            <w:vAlign w:val="bottom"/>
            <w:hideMark/>
          </w:tcPr>
          <w:p w14:paraId="2729E332"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(36.3)</w:t>
            </w:r>
          </w:p>
        </w:tc>
        <w:tc>
          <w:tcPr>
            <w:tcW w:w="1532" w:type="dxa"/>
            <w:shd w:val="clear" w:color="auto" w:fill="FFFFFF" w:themeFill="background1"/>
            <w:noWrap/>
            <w:vAlign w:val="bottom"/>
            <w:hideMark/>
          </w:tcPr>
          <w:p w14:paraId="0CFDC318"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(14.0)</w:t>
            </w:r>
          </w:p>
        </w:tc>
      </w:tr>
      <w:tr w:rsidR="008C676E" w14:paraId="150D16EF" w14:textId="77777777" w:rsidTr="00F72BA1">
        <w:trPr>
          <w:trHeight w:val="283"/>
        </w:trPr>
        <w:tc>
          <w:tcPr>
            <w:tcW w:w="5896" w:type="dxa"/>
            <w:noWrap/>
            <w:vAlign w:val="center"/>
            <w:hideMark/>
          </w:tcPr>
          <w:p w14:paraId="63F30D0B" w14:textId="1017C047" w:rsidR="008C676E" w:rsidRDefault="008C676E">
            <w:pPr>
              <w:spacing w:after="0" w:line="240" w:lineRule="auto"/>
              <w:rPr>
                <w:rFonts w:ascii="Arial" w:eastAsia="Times New Roman" w:hAnsi="Arial" w:cs="Arial"/>
                <w:b/>
                <w:bCs/>
                <w:sz w:val="18"/>
                <w:szCs w:val="18"/>
                <w:lang w:eastAsia="en-GB"/>
              </w:rPr>
            </w:pPr>
            <w:r>
              <w:rPr>
                <w:rFonts w:ascii="Arial" w:eastAsia="Times New Roman" w:hAnsi="Arial" w:cs="Arial"/>
                <w:sz w:val="18"/>
                <w:szCs w:val="18"/>
                <w:lang w:eastAsia="en-GB"/>
              </w:rPr>
              <w:t>Repayment of debt upon purchase of subsidiary undertaking</w:t>
            </w:r>
            <w:r w:rsidR="007D74AB">
              <w:rPr>
                <w:rFonts w:ascii="Arial" w:eastAsia="Times New Roman" w:hAnsi="Arial" w:cs="Arial"/>
                <w:sz w:val="18"/>
                <w:szCs w:val="18"/>
                <w:lang w:eastAsia="en-GB"/>
              </w:rPr>
              <w:t>s</w:t>
            </w:r>
          </w:p>
        </w:tc>
        <w:tc>
          <w:tcPr>
            <w:tcW w:w="794" w:type="dxa"/>
            <w:vAlign w:val="bottom"/>
          </w:tcPr>
          <w:p w14:paraId="7E483E87" w14:textId="77777777" w:rsidR="008C676E" w:rsidRDefault="008C676E">
            <w:pPr>
              <w:spacing w:after="0" w:line="240" w:lineRule="auto"/>
              <w:jc w:val="center"/>
              <w:rPr>
                <w:rFonts w:ascii="Arial" w:eastAsia="Times New Roman" w:hAnsi="Arial" w:cs="Arial"/>
                <w:sz w:val="18"/>
                <w:szCs w:val="18"/>
                <w:lang w:eastAsia="en-GB"/>
              </w:rPr>
            </w:pPr>
          </w:p>
        </w:tc>
        <w:tc>
          <w:tcPr>
            <w:tcW w:w="1531" w:type="dxa"/>
            <w:vAlign w:val="bottom"/>
            <w:hideMark/>
          </w:tcPr>
          <w:p w14:paraId="3493B196"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(0.5)</w:t>
            </w:r>
          </w:p>
        </w:tc>
        <w:tc>
          <w:tcPr>
            <w:tcW w:w="1532" w:type="dxa"/>
            <w:shd w:val="clear" w:color="auto" w:fill="FFFFFF" w:themeFill="background1"/>
            <w:noWrap/>
            <w:vAlign w:val="bottom"/>
            <w:hideMark/>
          </w:tcPr>
          <w:p w14:paraId="21109ABD"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(0.5)</w:t>
            </w:r>
          </w:p>
        </w:tc>
      </w:tr>
      <w:tr w:rsidR="008C676E" w14:paraId="278ECBF5" w14:textId="77777777" w:rsidTr="00F72BA1">
        <w:trPr>
          <w:trHeight w:val="283"/>
        </w:trPr>
        <w:tc>
          <w:tcPr>
            <w:tcW w:w="5896" w:type="dxa"/>
            <w:tcBorders>
              <w:top w:val="nil"/>
              <w:left w:val="nil"/>
              <w:right w:val="nil"/>
            </w:tcBorders>
            <w:noWrap/>
            <w:vAlign w:val="center"/>
            <w:hideMark/>
          </w:tcPr>
          <w:p w14:paraId="3235933C" w14:textId="77777777" w:rsidR="008C676E" w:rsidRDefault="008C676E">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Lease repayments</w:t>
            </w:r>
          </w:p>
        </w:tc>
        <w:tc>
          <w:tcPr>
            <w:tcW w:w="794" w:type="dxa"/>
            <w:tcBorders>
              <w:top w:val="nil"/>
              <w:left w:val="nil"/>
              <w:right w:val="nil"/>
            </w:tcBorders>
            <w:vAlign w:val="bottom"/>
          </w:tcPr>
          <w:p w14:paraId="4C5E386B" w14:textId="77777777" w:rsidR="008C676E" w:rsidRDefault="008C676E">
            <w:pPr>
              <w:spacing w:after="0" w:line="240" w:lineRule="auto"/>
              <w:jc w:val="center"/>
              <w:rPr>
                <w:rFonts w:ascii="Arial" w:hAnsi="Arial" w:cs="Arial"/>
                <w:sz w:val="18"/>
                <w:szCs w:val="18"/>
              </w:rPr>
            </w:pPr>
          </w:p>
        </w:tc>
        <w:tc>
          <w:tcPr>
            <w:tcW w:w="1531" w:type="dxa"/>
            <w:tcBorders>
              <w:top w:val="nil"/>
              <w:left w:val="nil"/>
              <w:right w:val="nil"/>
            </w:tcBorders>
            <w:vAlign w:val="bottom"/>
            <w:hideMark/>
          </w:tcPr>
          <w:p w14:paraId="55A72F9F" w14:textId="77777777" w:rsidR="008C676E" w:rsidRDefault="008C676E">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(11.9)</w:t>
            </w:r>
          </w:p>
        </w:tc>
        <w:tc>
          <w:tcPr>
            <w:tcW w:w="1532" w:type="dxa"/>
            <w:tcBorders>
              <w:top w:val="nil"/>
              <w:left w:val="nil"/>
              <w:right w:val="nil"/>
            </w:tcBorders>
            <w:shd w:val="clear" w:color="auto" w:fill="FFFFFF" w:themeFill="background1"/>
            <w:noWrap/>
            <w:vAlign w:val="bottom"/>
            <w:hideMark/>
          </w:tcPr>
          <w:p w14:paraId="09DABCEF" w14:textId="77777777" w:rsidR="008C676E" w:rsidRDefault="008C676E">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(11.1)</w:t>
            </w:r>
          </w:p>
        </w:tc>
      </w:tr>
      <w:tr w:rsidR="00263A89" w14:paraId="7BD4F988" w14:textId="77777777" w:rsidTr="00F72BA1">
        <w:trPr>
          <w:trHeight w:val="283"/>
        </w:trPr>
        <w:tc>
          <w:tcPr>
            <w:tcW w:w="5896" w:type="dxa"/>
            <w:tcBorders>
              <w:left w:val="nil"/>
              <w:bottom w:val="single" w:sz="4" w:space="0" w:color="auto"/>
              <w:right w:val="nil"/>
            </w:tcBorders>
            <w:noWrap/>
            <w:vAlign w:val="center"/>
          </w:tcPr>
          <w:p w14:paraId="3ED0187A" w14:textId="219DB871"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Settlement of contingent consideration</w:t>
            </w:r>
          </w:p>
        </w:tc>
        <w:tc>
          <w:tcPr>
            <w:tcW w:w="794" w:type="dxa"/>
            <w:tcBorders>
              <w:left w:val="nil"/>
              <w:bottom w:val="single" w:sz="4" w:space="0" w:color="auto"/>
              <w:right w:val="nil"/>
            </w:tcBorders>
            <w:vAlign w:val="bottom"/>
          </w:tcPr>
          <w:p w14:paraId="5047E134" w14:textId="77777777" w:rsidR="00263A89" w:rsidRDefault="00263A89" w:rsidP="00263A89">
            <w:pPr>
              <w:spacing w:after="0" w:line="240" w:lineRule="auto"/>
              <w:jc w:val="center"/>
              <w:rPr>
                <w:rFonts w:ascii="Arial" w:hAnsi="Arial" w:cs="Arial"/>
                <w:sz w:val="18"/>
                <w:szCs w:val="18"/>
              </w:rPr>
            </w:pPr>
          </w:p>
        </w:tc>
        <w:tc>
          <w:tcPr>
            <w:tcW w:w="1531" w:type="dxa"/>
            <w:tcBorders>
              <w:left w:val="nil"/>
              <w:bottom w:val="single" w:sz="4" w:space="0" w:color="auto"/>
              <w:right w:val="nil"/>
            </w:tcBorders>
            <w:vAlign w:val="bottom"/>
          </w:tcPr>
          <w:p w14:paraId="70975C68" w14:textId="3AB9876A" w:rsidR="00263A89" w:rsidRDefault="00263A89" w:rsidP="00263A8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(2.5)</w:t>
            </w:r>
          </w:p>
        </w:tc>
        <w:tc>
          <w:tcPr>
            <w:tcW w:w="1532" w:type="dxa"/>
            <w:tcBorders>
              <w:left w:val="nil"/>
              <w:bottom w:val="single" w:sz="4" w:space="0" w:color="auto"/>
              <w:right w:val="nil"/>
            </w:tcBorders>
            <w:shd w:val="clear" w:color="auto" w:fill="FFFFFF" w:themeFill="background1"/>
            <w:noWrap/>
            <w:vAlign w:val="bottom"/>
          </w:tcPr>
          <w:p w14:paraId="79C0FDC9" w14:textId="7A8CC878" w:rsidR="00263A89" w:rsidRDefault="00263A89" w:rsidP="00263A89">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263A89" w14:paraId="17B62FB8" w14:textId="77777777" w:rsidTr="008C676E">
        <w:trPr>
          <w:trHeight w:val="283"/>
        </w:trPr>
        <w:tc>
          <w:tcPr>
            <w:tcW w:w="5896" w:type="dxa"/>
            <w:tcBorders>
              <w:top w:val="single" w:sz="4" w:space="0" w:color="auto"/>
              <w:left w:val="nil"/>
              <w:bottom w:val="single" w:sz="4" w:space="0" w:color="auto"/>
              <w:right w:val="nil"/>
            </w:tcBorders>
            <w:noWrap/>
            <w:vAlign w:val="center"/>
            <w:hideMark/>
          </w:tcPr>
          <w:p w14:paraId="2C333326" w14:textId="77777777"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Net cash generated in financing activities</w:t>
            </w:r>
          </w:p>
        </w:tc>
        <w:tc>
          <w:tcPr>
            <w:tcW w:w="794" w:type="dxa"/>
            <w:tcBorders>
              <w:top w:val="single" w:sz="4" w:space="0" w:color="auto"/>
              <w:left w:val="nil"/>
              <w:bottom w:val="single" w:sz="4" w:space="0" w:color="auto"/>
              <w:right w:val="nil"/>
            </w:tcBorders>
            <w:vAlign w:val="bottom"/>
          </w:tcPr>
          <w:p w14:paraId="433DF4AC" w14:textId="77777777" w:rsidR="00263A89" w:rsidRDefault="00263A89" w:rsidP="00263A89">
            <w:pPr>
              <w:spacing w:after="0" w:line="240" w:lineRule="auto"/>
              <w:jc w:val="center"/>
              <w:rPr>
                <w:rFonts w:ascii="Arial" w:hAnsi="Arial" w:cs="Arial"/>
                <w:b/>
                <w:bCs/>
                <w:sz w:val="18"/>
                <w:szCs w:val="18"/>
              </w:rPr>
            </w:pPr>
          </w:p>
        </w:tc>
        <w:tc>
          <w:tcPr>
            <w:tcW w:w="1531" w:type="dxa"/>
            <w:tcBorders>
              <w:top w:val="single" w:sz="4" w:space="0" w:color="auto"/>
              <w:left w:val="nil"/>
              <w:bottom w:val="single" w:sz="4" w:space="0" w:color="auto"/>
              <w:right w:val="nil"/>
            </w:tcBorders>
            <w:vAlign w:val="bottom"/>
            <w:hideMark/>
          </w:tcPr>
          <w:p w14:paraId="3AE04958" w14:textId="4F8137EE" w:rsidR="00263A89" w:rsidRDefault="00263A89" w:rsidP="00263A8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1.6</w:t>
            </w:r>
          </w:p>
        </w:tc>
        <w:tc>
          <w:tcPr>
            <w:tcW w:w="1532" w:type="dxa"/>
            <w:tcBorders>
              <w:top w:val="single" w:sz="4" w:space="0" w:color="auto"/>
              <w:left w:val="nil"/>
              <w:bottom w:val="single" w:sz="4" w:space="0" w:color="auto"/>
              <w:right w:val="nil"/>
            </w:tcBorders>
            <w:shd w:val="clear" w:color="auto" w:fill="FFFFFF" w:themeFill="background1"/>
            <w:noWrap/>
            <w:vAlign w:val="bottom"/>
            <w:hideMark/>
          </w:tcPr>
          <w:p w14:paraId="496A8D29" w14:textId="77777777" w:rsidR="00263A89" w:rsidRDefault="00263A89" w:rsidP="00263A89">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39.4</w:t>
            </w:r>
          </w:p>
        </w:tc>
      </w:tr>
      <w:tr w:rsidR="00263A89" w14:paraId="7D05A70F" w14:textId="77777777" w:rsidTr="008C676E">
        <w:trPr>
          <w:trHeight w:val="283"/>
        </w:trPr>
        <w:tc>
          <w:tcPr>
            <w:tcW w:w="5896" w:type="dxa"/>
            <w:tcBorders>
              <w:top w:val="single" w:sz="4" w:space="0" w:color="auto"/>
              <w:left w:val="nil"/>
              <w:bottom w:val="nil"/>
              <w:right w:val="nil"/>
            </w:tcBorders>
            <w:noWrap/>
            <w:vAlign w:val="center"/>
          </w:tcPr>
          <w:p w14:paraId="435166CF" w14:textId="77777777" w:rsidR="00263A89" w:rsidRDefault="00263A89" w:rsidP="00263A89">
            <w:pPr>
              <w:spacing w:after="0" w:line="240" w:lineRule="auto"/>
              <w:rPr>
                <w:rFonts w:ascii="Arial" w:eastAsia="Times New Roman" w:hAnsi="Arial" w:cs="Arial"/>
                <w:sz w:val="18"/>
                <w:szCs w:val="18"/>
                <w:lang w:eastAsia="en-GB"/>
              </w:rPr>
            </w:pPr>
          </w:p>
        </w:tc>
        <w:tc>
          <w:tcPr>
            <w:tcW w:w="794" w:type="dxa"/>
            <w:tcBorders>
              <w:top w:val="single" w:sz="4" w:space="0" w:color="auto"/>
              <w:left w:val="nil"/>
              <w:bottom w:val="nil"/>
              <w:right w:val="nil"/>
            </w:tcBorders>
            <w:vAlign w:val="bottom"/>
          </w:tcPr>
          <w:p w14:paraId="24E1D92F" w14:textId="77777777" w:rsidR="00263A89" w:rsidRDefault="00263A89" w:rsidP="00263A89">
            <w:pPr>
              <w:spacing w:after="0" w:line="240" w:lineRule="auto"/>
              <w:jc w:val="center"/>
              <w:rPr>
                <w:rFonts w:ascii="Arial" w:hAnsi="Arial" w:cs="Arial"/>
                <w:sz w:val="18"/>
                <w:szCs w:val="18"/>
              </w:rPr>
            </w:pPr>
          </w:p>
        </w:tc>
        <w:tc>
          <w:tcPr>
            <w:tcW w:w="1531" w:type="dxa"/>
            <w:tcBorders>
              <w:top w:val="single" w:sz="4" w:space="0" w:color="auto"/>
              <w:left w:val="nil"/>
              <w:bottom w:val="nil"/>
              <w:right w:val="nil"/>
            </w:tcBorders>
            <w:vAlign w:val="bottom"/>
          </w:tcPr>
          <w:p w14:paraId="0755AC94" w14:textId="77777777" w:rsidR="00263A89" w:rsidRDefault="00263A89" w:rsidP="00263A89">
            <w:pPr>
              <w:spacing w:after="0" w:line="240" w:lineRule="auto"/>
              <w:jc w:val="right"/>
              <w:rPr>
                <w:rFonts w:ascii="Arial" w:eastAsia="Times New Roman" w:hAnsi="Arial" w:cs="Arial"/>
                <w:b/>
                <w:bCs/>
                <w:sz w:val="18"/>
                <w:szCs w:val="18"/>
                <w:lang w:eastAsia="en-GB"/>
              </w:rPr>
            </w:pPr>
          </w:p>
        </w:tc>
        <w:tc>
          <w:tcPr>
            <w:tcW w:w="1532" w:type="dxa"/>
            <w:tcBorders>
              <w:top w:val="single" w:sz="4" w:space="0" w:color="auto"/>
              <w:left w:val="nil"/>
              <w:bottom w:val="nil"/>
              <w:right w:val="nil"/>
            </w:tcBorders>
            <w:shd w:val="clear" w:color="auto" w:fill="FFFFFF" w:themeFill="background1"/>
            <w:noWrap/>
            <w:vAlign w:val="bottom"/>
          </w:tcPr>
          <w:p w14:paraId="7CCA6EB2" w14:textId="77777777" w:rsidR="00263A89" w:rsidRDefault="00263A89" w:rsidP="00263A89">
            <w:pPr>
              <w:spacing w:after="0" w:line="240" w:lineRule="auto"/>
              <w:jc w:val="right"/>
              <w:rPr>
                <w:rFonts w:ascii="Arial" w:eastAsia="Times New Roman" w:hAnsi="Arial" w:cs="Arial"/>
                <w:sz w:val="18"/>
                <w:szCs w:val="18"/>
                <w:lang w:eastAsia="en-GB"/>
              </w:rPr>
            </w:pPr>
          </w:p>
        </w:tc>
      </w:tr>
      <w:tr w:rsidR="00263A89" w14:paraId="305E8EF0" w14:textId="77777777" w:rsidTr="008C676E">
        <w:trPr>
          <w:trHeight w:val="283"/>
        </w:trPr>
        <w:tc>
          <w:tcPr>
            <w:tcW w:w="5896" w:type="dxa"/>
            <w:noWrap/>
            <w:vAlign w:val="center"/>
            <w:hideMark/>
          </w:tcPr>
          <w:p w14:paraId="5CE6E927" w14:textId="2B4B849F"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Net (decrease) in cash and cash equivalents in relation to continuing operations</w:t>
            </w:r>
          </w:p>
        </w:tc>
        <w:tc>
          <w:tcPr>
            <w:tcW w:w="794" w:type="dxa"/>
            <w:vAlign w:val="bottom"/>
          </w:tcPr>
          <w:p w14:paraId="218B5D01" w14:textId="77777777" w:rsidR="00263A89" w:rsidRDefault="00263A89" w:rsidP="00263A89">
            <w:pPr>
              <w:spacing w:after="0" w:line="240" w:lineRule="auto"/>
              <w:jc w:val="center"/>
              <w:rPr>
                <w:rFonts w:ascii="Arial" w:hAnsi="Arial" w:cs="Arial"/>
                <w:sz w:val="18"/>
                <w:szCs w:val="18"/>
              </w:rPr>
            </w:pPr>
          </w:p>
        </w:tc>
        <w:tc>
          <w:tcPr>
            <w:tcW w:w="1531" w:type="dxa"/>
            <w:vAlign w:val="bottom"/>
            <w:hideMark/>
          </w:tcPr>
          <w:p w14:paraId="7A7BAF0D" w14:textId="77777777" w:rsidR="00263A89" w:rsidRDefault="00263A89" w:rsidP="00263A8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(0.8)</w:t>
            </w:r>
          </w:p>
        </w:tc>
        <w:tc>
          <w:tcPr>
            <w:tcW w:w="1532" w:type="dxa"/>
            <w:shd w:val="clear" w:color="auto" w:fill="FFFFFF" w:themeFill="background1"/>
            <w:noWrap/>
            <w:vAlign w:val="bottom"/>
            <w:hideMark/>
          </w:tcPr>
          <w:p w14:paraId="75F76EB2" w14:textId="77777777" w:rsidR="00263A89" w:rsidRDefault="00263A89" w:rsidP="00263A89">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(1.0)</w:t>
            </w:r>
          </w:p>
        </w:tc>
      </w:tr>
      <w:tr w:rsidR="00263A89" w14:paraId="01D9F6A9" w14:textId="77777777" w:rsidTr="008C676E">
        <w:trPr>
          <w:trHeight w:val="283"/>
        </w:trPr>
        <w:tc>
          <w:tcPr>
            <w:tcW w:w="5896" w:type="dxa"/>
            <w:noWrap/>
            <w:vAlign w:val="center"/>
            <w:hideMark/>
          </w:tcPr>
          <w:p w14:paraId="369E52CC" w14:textId="77777777"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Cash and cash equivalents at start of year</w:t>
            </w:r>
          </w:p>
        </w:tc>
        <w:tc>
          <w:tcPr>
            <w:tcW w:w="794" w:type="dxa"/>
            <w:vAlign w:val="bottom"/>
          </w:tcPr>
          <w:p w14:paraId="72DB2C21" w14:textId="77777777" w:rsidR="00263A89" w:rsidRDefault="00263A89" w:rsidP="00263A89">
            <w:pPr>
              <w:spacing w:after="0" w:line="240" w:lineRule="auto"/>
              <w:jc w:val="center"/>
              <w:rPr>
                <w:rFonts w:ascii="Arial" w:hAnsi="Arial" w:cs="Arial"/>
                <w:sz w:val="18"/>
                <w:szCs w:val="18"/>
              </w:rPr>
            </w:pPr>
          </w:p>
        </w:tc>
        <w:tc>
          <w:tcPr>
            <w:tcW w:w="1531" w:type="dxa"/>
            <w:vAlign w:val="bottom"/>
            <w:hideMark/>
          </w:tcPr>
          <w:p w14:paraId="5D38EDE4" w14:textId="77777777" w:rsidR="00263A89" w:rsidRDefault="00263A89" w:rsidP="00263A8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30.2</w:t>
            </w:r>
          </w:p>
        </w:tc>
        <w:tc>
          <w:tcPr>
            <w:tcW w:w="1532" w:type="dxa"/>
            <w:shd w:val="clear" w:color="auto" w:fill="FFFFFF" w:themeFill="background1"/>
            <w:noWrap/>
            <w:vAlign w:val="bottom"/>
            <w:hideMark/>
          </w:tcPr>
          <w:p w14:paraId="6C0B2010" w14:textId="77777777" w:rsidR="00263A89" w:rsidRDefault="00263A89" w:rsidP="00263A89">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31.2</w:t>
            </w:r>
          </w:p>
        </w:tc>
      </w:tr>
      <w:tr w:rsidR="00263A89" w14:paraId="1D25A510" w14:textId="77777777" w:rsidTr="008C676E">
        <w:trPr>
          <w:trHeight w:val="283"/>
        </w:trPr>
        <w:tc>
          <w:tcPr>
            <w:tcW w:w="5896" w:type="dxa"/>
            <w:tcBorders>
              <w:top w:val="nil"/>
              <w:left w:val="nil"/>
              <w:bottom w:val="single" w:sz="4" w:space="0" w:color="auto"/>
              <w:right w:val="nil"/>
            </w:tcBorders>
            <w:noWrap/>
            <w:vAlign w:val="center"/>
            <w:hideMark/>
          </w:tcPr>
          <w:p w14:paraId="21D853CA" w14:textId="77777777"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Cash and cash equivalents in relation to discontinued operations</w:t>
            </w:r>
          </w:p>
        </w:tc>
        <w:tc>
          <w:tcPr>
            <w:tcW w:w="794" w:type="dxa"/>
            <w:tcBorders>
              <w:top w:val="nil"/>
              <w:left w:val="nil"/>
              <w:bottom w:val="single" w:sz="4" w:space="0" w:color="auto"/>
              <w:right w:val="nil"/>
            </w:tcBorders>
            <w:vAlign w:val="bottom"/>
            <w:hideMark/>
          </w:tcPr>
          <w:p w14:paraId="03132E2D" w14:textId="0B2B9577" w:rsidR="00263A89" w:rsidRDefault="00263A89" w:rsidP="00263A89">
            <w:pPr>
              <w:spacing w:after="0" w:line="240" w:lineRule="auto"/>
              <w:jc w:val="center"/>
              <w:rPr>
                <w:rFonts w:ascii="Arial" w:hAnsi="Arial" w:cs="Arial"/>
                <w:sz w:val="18"/>
                <w:szCs w:val="18"/>
              </w:rPr>
            </w:pPr>
          </w:p>
        </w:tc>
        <w:tc>
          <w:tcPr>
            <w:tcW w:w="1531" w:type="dxa"/>
            <w:tcBorders>
              <w:top w:val="nil"/>
              <w:left w:val="nil"/>
              <w:bottom w:val="single" w:sz="4" w:space="0" w:color="auto"/>
              <w:right w:val="nil"/>
            </w:tcBorders>
            <w:vAlign w:val="bottom"/>
            <w:hideMark/>
          </w:tcPr>
          <w:p w14:paraId="11DF2AE6" w14:textId="77777777" w:rsidR="00263A89" w:rsidRDefault="00263A89" w:rsidP="00263A8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(55.2)</w:t>
            </w:r>
          </w:p>
        </w:tc>
        <w:tc>
          <w:tcPr>
            <w:tcW w:w="1532" w:type="dxa"/>
            <w:tcBorders>
              <w:top w:val="nil"/>
              <w:left w:val="nil"/>
              <w:bottom w:val="single" w:sz="4" w:space="0" w:color="auto"/>
              <w:right w:val="nil"/>
            </w:tcBorders>
            <w:shd w:val="clear" w:color="auto" w:fill="FFFFFF" w:themeFill="background1"/>
            <w:noWrap/>
            <w:vAlign w:val="bottom"/>
            <w:hideMark/>
          </w:tcPr>
          <w:p w14:paraId="397D7606" w14:textId="77777777" w:rsidR="00263A89" w:rsidRDefault="00263A89" w:rsidP="00263A89">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263A89" w14:paraId="3B333CA8" w14:textId="77777777" w:rsidTr="008C676E">
        <w:trPr>
          <w:trHeight w:val="283"/>
        </w:trPr>
        <w:tc>
          <w:tcPr>
            <w:tcW w:w="5896" w:type="dxa"/>
            <w:tcBorders>
              <w:top w:val="single" w:sz="4" w:space="0" w:color="auto"/>
              <w:left w:val="nil"/>
              <w:bottom w:val="single" w:sz="4" w:space="0" w:color="auto"/>
              <w:right w:val="nil"/>
            </w:tcBorders>
            <w:noWrap/>
            <w:vAlign w:val="center"/>
            <w:hideMark/>
          </w:tcPr>
          <w:p w14:paraId="483A2B55" w14:textId="77777777"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Cash and cash equivalents at the end of year</w:t>
            </w:r>
          </w:p>
        </w:tc>
        <w:tc>
          <w:tcPr>
            <w:tcW w:w="794" w:type="dxa"/>
            <w:tcBorders>
              <w:top w:val="single" w:sz="4" w:space="0" w:color="auto"/>
              <w:left w:val="nil"/>
              <w:bottom w:val="single" w:sz="4" w:space="0" w:color="auto"/>
              <w:right w:val="nil"/>
            </w:tcBorders>
            <w:vAlign w:val="bottom"/>
          </w:tcPr>
          <w:p w14:paraId="7A9D3185" w14:textId="77777777" w:rsidR="00263A89" w:rsidRDefault="00263A89" w:rsidP="00263A89">
            <w:pPr>
              <w:spacing w:after="0" w:line="240" w:lineRule="auto"/>
              <w:jc w:val="center"/>
              <w:rPr>
                <w:rFonts w:ascii="Arial" w:hAnsi="Arial" w:cs="Arial"/>
                <w:b/>
                <w:bCs/>
                <w:sz w:val="18"/>
                <w:szCs w:val="18"/>
              </w:rPr>
            </w:pPr>
          </w:p>
        </w:tc>
        <w:tc>
          <w:tcPr>
            <w:tcW w:w="1531" w:type="dxa"/>
            <w:tcBorders>
              <w:top w:val="single" w:sz="4" w:space="0" w:color="auto"/>
              <w:left w:val="nil"/>
              <w:bottom w:val="single" w:sz="4" w:space="0" w:color="auto"/>
              <w:right w:val="nil"/>
            </w:tcBorders>
            <w:vAlign w:val="bottom"/>
            <w:hideMark/>
          </w:tcPr>
          <w:p w14:paraId="7B81ACC1" w14:textId="77777777" w:rsidR="00263A89" w:rsidRDefault="00263A89" w:rsidP="00263A8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(25.8)</w:t>
            </w:r>
          </w:p>
        </w:tc>
        <w:tc>
          <w:tcPr>
            <w:tcW w:w="1532" w:type="dxa"/>
            <w:tcBorders>
              <w:top w:val="single" w:sz="4" w:space="0" w:color="auto"/>
              <w:left w:val="nil"/>
              <w:bottom w:val="single" w:sz="4" w:space="0" w:color="auto"/>
              <w:right w:val="nil"/>
            </w:tcBorders>
            <w:shd w:val="clear" w:color="auto" w:fill="FFFFFF" w:themeFill="background1"/>
            <w:noWrap/>
            <w:vAlign w:val="bottom"/>
            <w:hideMark/>
          </w:tcPr>
          <w:p w14:paraId="38CD689E" w14:textId="77777777" w:rsidR="00263A89" w:rsidRDefault="00263A89" w:rsidP="00263A89">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30.2</w:t>
            </w:r>
          </w:p>
        </w:tc>
      </w:tr>
      <w:tr w:rsidR="00263A89" w14:paraId="0F724BAF" w14:textId="77777777" w:rsidTr="008C676E">
        <w:trPr>
          <w:trHeight w:val="283"/>
        </w:trPr>
        <w:tc>
          <w:tcPr>
            <w:tcW w:w="5896" w:type="dxa"/>
            <w:tcBorders>
              <w:top w:val="single" w:sz="4" w:space="0" w:color="auto"/>
              <w:left w:val="nil"/>
              <w:bottom w:val="nil"/>
              <w:right w:val="nil"/>
            </w:tcBorders>
            <w:noWrap/>
            <w:vAlign w:val="center"/>
          </w:tcPr>
          <w:p w14:paraId="37AAC8E8" w14:textId="77777777" w:rsidR="00263A89" w:rsidRDefault="00263A89" w:rsidP="00263A89">
            <w:pPr>
              <w:spacing w:after="0" w:line="240" w:lineRule="auto"/>
              <w:rPr>
                <w:rFonts w:ascii="Arial" w:eastAsia="Times New Roman" w:hAnsi="Arial" w:cs="Arial"/>
                <w:b/>
                <w:bCs/>
                <w:sz w:val="18"/>
                <w:szCs w:val="18"/>
                <w:highlight w:val="yellow"/>
                <w:lang w:eastAsia="en-GB"/>
              </w:rPr>
            </w:pPr>
          </w:p>
        </w:tc>
        <w:tc>
          <w:tcPr>
            <w:tcW w:w="794" w:type="dxa"/>
            <w:tcBorders>
              <w:top w:val="single" w:sz="4" w:space="0" w:color="auto"/>
              <w:left w:val="nil"/>
              <w:bottom w:val="nil"/>
              <w:right w:val="nil"/>
            </w:tcBorders>
            <w:vAlign w:val="bottom"/>
          </w:tcPr>
          <w:p w14:paraId="2DEA37E3" w14:textId="77777777" w:rsidR="00263A89" w:rsidRDefault="00263A89" w:rsidP="00263A89">
            <w:pPr>
              <w:spacing w:after="0" w:line="240" w:lineRule="auto"/>
              <w:jc w:val="center"/>
              <w:rPr>
                <w:rFonts w:ascii="Arial" w:eastAsia="Times New Roman" w:hAnsi="Arial" w:cs="Arial"/>
                <w:sz w:val="18"/>
                <w:szCs w:val="18"/>
                <w:lang w:eastAsia="en-GB"/>
              </w:rPr>
            </w:pPr>
          </w:p>
        </w:tc>
        <w:tc>
          <w:tcPr>
            <w:tcW w:w="1531" w:type="dxa"/>
            <w:tcBorders>
              <w:top w:val="single" w:sz="4" w:space="0" w:color="auto"/>
              <w:left w:val="nil"/>
              <w:bottom w:val="nil"/>
              <w:right w:val="nil"/>
            </w:tcBorders>
            <w:vAlign w:val="bottom"/>
          </w:tcPr>
          <w:p w14:paraId="0D6EBD82" w14:textId="77777777" w:rsidR="00263A89" w:rsidRDefault="00263A89" w:rsidP="00263A89">
            <w:pPr>
              <w:spacing w:after="0" w:line="240" w:lineRule="auto"/>
              <w:jc w:val="right"/>
              <w:rPr>
                <w:rFonts w:ascii="Arial" w:eastAsia="Times New Roman" w:hAnsi="Arial" w:cs="Arial"/>
                <w:b/>
                <w:bCs/>
                <w:sz w:val="18"/>
                <w:szCs w:val="18"/>
                <w:lang w:eastAsia="en-GB"/>
              </w:rPr>
            </w:pPr>
          </w:p>
        </w:tc>
        <w:tc>
          <w:tcPr>
            <w:tcW w:w="1532" w:type="dxa"/>
            <w:tcBorders>
              <w:top w:val="single" w:sz="4" w:space="0" w:color="auto"/>
              <w:left w:val="nil"/>
              <w:bottom w:val="nil"/>
              <w:right w:val="nil"/>
            </w:tcBorders>
            <w:shd w:val="clear" w:color="auto" w:fill="FFFFFF" w:themeFill="background1"/>
            <w:noWrap/>
            <w:vAlign w:val="bottom"/>
          </w:tcPr>
          <w:p w14:paraId="6C68E6FC" w14:textId="77777777" w:rsidR="00263A89" w:rsidRDefault="00263A89" w:rsidP="00263A89">
            <w:pPr>
              <w:spacing w:after="0" w:line="240" w:lineRule="auto"/>
              <w:jc w:val="right"/>
              <w:rPr>
                <w:rFonts w:ascii="Arial" w:eastAsia="Times New Roman" w:hAnsi="Arial" w:cs="Arial"/>
                <w:sz w:val="18"/>
                <w:szCs w:val="18"/>
                <w:lang w:eastAsia="en-GB"/>
              </w:rPr>
            </w:pPr>
          </w:p>
        </w:tc>
      </w:tr>
      <w:tr w:rsidR="00263A89" w14:paraId="13A12713" w14:textId="77777777" w:rsidTr="008C676E">
        <w:trPr>
          <w:trHeight w:val="283"/>
        </w:trPr>
        <w:tc>
          <w:tcPr>
            <w:tcW w:w="5896" w:type="dxa"/>
            <w:noWrap/>
            <w:vAlign w:val="center"/>
            <w:hideMark/>
          </w:tcPr>
          <w:p w14:paraId="2ECE2F0C" w14:textId="77777777"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b/>
                <w:bCs/>
                <w:sz w:val="18"/>
                <w:szCs w:val="18"/>
                <w:lang w:eastAsia="en-GB"/>
              </w:rPr>
              <w:t>Cash and cash equivalents shown above comprise:</w:t>
            </w:r>
          </w:p>
        </w:tc>
        <w:tc>
          <w:tcPr>
            <w:tcW w:w="794" w:type="dxa"/>
            <w:vAlign w:val="bottom"/>
          </w:tcPr>
          <w:p w14:paraId="36EFBB39" w14:textId="77777777" w:rsidR="00263A89" w:rsidRDefault="00263A89" w:rsidP="00263A89">
            <w:pPr>
              <w:spacing w:after="0" w:line="240" w:lineRule="auto"/>
              <w:jc w:val="center"/>
              <w:rPr>
                <w:rFonts w:ascii="Arial" w:eastAsia="Times New Roman" w:hAnsi="Arial" w:cs="Arial"/>
                <w:sz w:val="18"/>
                <w:szCs w:val="18"/>
                <w:lang w:eastAsia="en-GB"/>
              </w:rPr>
            </w:pPr>
          </w:p>
        </w:tc>
        <w:tc>
          <w:tcPr>
            <w:tcW w:w="1531" w:type="dxa"/>
            <w:vAlign w:val="bottom"/>
          </w:tcPr>
          <w:p w14:paraId="25EE47B6" w14:textId="77777777" w:rsidR="00263A89" w:rsidRDefault="00263A89" w:rsidP="00263A89">
            <w:pPr>
              <w:spacing w:after="0" w:line="240" w:lineRule="auto"/>
              <w:jc w:val="right"/>
              <w:rPr>
                <w:rFonts w:ascii="Arial" w:eastAsia="Times New Roman" w:hAnsi="Arial" w:cs="Arial"/>
                <w:b/>
                <w:bCs/>
                <w:sz w:val="18"/>
                <w:szCs w:val="18"/>
                <w:lang w:eastAsia="en-GB"/>
              </w:rPr>
            </w:pPr>
          </w:p>
        </w:tc>
        <w:tc>
          <w:tcPr>
            <w:tcW w:w="1532" w:type="dxa"/>
            <w:shd w:val="clear" w:color="auto" w:fill="FFFFFF" w:themeFill="background1"/>
            <w:noWrap/>
            <w:vAlign w:val="bottom"/>
          </w:tcPr>
          <w:p w14:paraId="4141C7F7" w14:textId="77777777" w:rsidR="00263A89" w:rsidRDefault="00263A89" w:rsidP="00263A89">
            <w:pPr>
              <w:spacing w:after="0" w:line="240" w:lineRule="auto"/>
              <w:jc w:val="right"/>
              <w:rPr>
                <w:rFonts w:ascii="Arial" w:eastAsia="Times New Roman" w:hAnsi="Arial" w:cs="Arial"/>
                <w:sz w:val="18"/>
                <w:szCs w:val="18"/>
                <w:lang w:eastAsia="en-GB"/>
              </w:rPr>
            </w:pPr>
          </w:p>
        </w:tc>
      </w:tr>
      <w:tr w:rsidR="00263A89" w14:paraId="6098820A" w14:textId="77777777" w:rsidTr="008C676E">
        <w:trPr>
          <w:trHeight w:val="283"/>
        </w:trPr>
        <w:tc>
          <w:tcPr>
            <w:tcW w:w="5896" w:type="dxa"/>
            <w:vAlign w:val="center"/>
            <w:hideMark/>
          </w:tcPr>
          <w:p w14:paraId="2864BD4D" w14:textId="77777777"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Cash at bank</w:t>
            </w:r>
          </w:p>
        </w:tc>
        <w:tc>
          <w:tcPr>
            <w:tcW w:w="794" w:type="dxa"/>
            <w:vAlign w:val="bottom"/>
          </w:tcPr>
          <w:p w14:paraId="3BBEEBB2" w14:textId="77777777" w:rsidR="00263A89" w:rsidRDefault="00263A89" w:rsidP="00263A89">
            <w:pPr>
              <w:spacing w:after="0" w:line="240" w:lineRule="auto"/>
              <w:jc w:val="center"/>
              <w:rPr>
                <w:rFonts w:ascii="Arial" w:hAnsi="Arial" w:cs="Arial"/>
                <w:sz w:val="18"/>
                <w:szCs w:val="18"/>
              </w:rPr>
            </w:pPr>
          </w:p>
        </w:tc>
        <w:tc>
          <w:tcPr>
            <w:tcW w:w="1531" w:type="dxa"/>
            <w:vAlign w:val="bottom"/>
            <w:hideMark/>
          </w:tcPr>
          <w:p w14:paraId="2664D266" w14:textId="77777777" w:rsidR="00263A89" w:rsidRDefault="00263A89" w:rsidP="00263A8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w:t>
            </w:r>
          </w:p>
        </w:tc>
        <w:tc>
          <w:tcPr>
            <w:tcW w:w="1532" w:type="dxa"/>
            <w:noWrap/>
            <w:vAlign w:val="bottom"/>
            <w:hideMark/>
          </w:tcPr>
          <w:p w14:paraId="04E85884" w14:textId="77777777" w:rsidR="00263A89" w:rsidRDefault="00263A89" w:rsidP="00263A89">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30.2</w:t>
            </w:r>
          </w:p>
        </w:tc>
      </w:tr>
      <w:tr w:rsidR="00263A89" w14:paraId="47EF7078" w14:textId="77777777" w:rsidTr="008C676E">
        <w:trPr>
          <w:trHeight w:val="283"/>
        </w:trPr>
        <w:tc>
          <w:tcPr>
            <w:tcW w:w="5896" w:type="dxa"/>
            <w:tcBorders>
              <w:top w:val="nil"/>
              <w:left w:val="nil"/>
              <w:bottom w:val="double" w:sz="4" w:space="0" w:color="auto"/>
              <w:right w:val="nil"/>
            </w:tcBorders>
            <w:vAlign w:val="center"/>
            <w:hideMark/>
          </w:tcPr>
          <w:p w14:paraId="55C19B6A" w14:textId="77777777" w:rsidR="00263A89" w:rsidRDefault="00263A89" w:rsidP="00263A8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Bank overdrafts</w:t>
            </w:r>
          </w:p>
        </w:tc>
        <w:tc>
          <w:tcPr>
            <w:tcW w:w="794" w:type="dxa"/>
            <w:tcBorders>
              <w:top w:val="nil"/>
              <w:left w:val="nil"/>
              <w:bottom w:val="double" w:sz="4" w:space="0" w:color="auto"/>
              <w:right w:val="nil"/>
            </w:tcBorders>
            <w:vAlign w:val="bottom"/>
            <w:hideMark/>
          </w:tcPr>
          <w:p w14:paraId="7F740CEB" w14:textId="2211B792" w:rsidR="00263A89" w:rsidRDefault="00263A89" w:rsidP="00263A89">
            <w:pPr>
              <w:spacing w:after="0" w:line="240" w:lineRule="auto"/>
              <w:jc w:val="center"/>
              <w:rPr>
                <w:rFonts w:ascii="Arial" w:hAnsi="Arial" w:cs="Arial"/>
                <w:sz w:val="18"/>
                <w:szCs w:val="18"/>
              </w:rPr>
            </w:pPr>
            <w:r>
              <w:rPr>
                <w:rFonts w:ascii="Arial" w:hAnsi="Arial" w:cs="Arial"/>
                <w:sz w:val="18"/>
                <w:szCs w:val="18"/>
              </w:rPr>
              <w:t>10</w:t>
            </w:r>
          </w:p>
        </w:tc>
        <w:tc>
          <w:tcPr>
            <w:tcW w:w="1531" w:type="dxa"/>
            <w:tcBorders>
              <w:top w:val="nil"/>
              <w:left w:val="nil"/>
              <w:bottom w:val="double" w:sz="4" w:space="0" w:color="auto"/>
              <w:right w:val="nil"/>
            </w:tcBorders>
            <w:vAlign w:val="bottom"/>
            <w:hideMark/>
          </w:tcPr>
          <w:p w14:paraId="2220844A" w14:textId="77777777" w:rsidR="00263A89" w:rsidRDefault="00263A89" w:rsidP="00263A89">
            <w:pPr>
              <w:spacing w:after="0" w:line="240" w:lineRule="auto"/>
              <w:jc w:val="right"/>
              <w:rPr>
                <w:rFonts w:ascii="Arial" w:eastAsia="Times New Roman" w:hAnsi="Arial" w:cs="Arial"/>
                <w:b/>
                <w:bCs/>
                <w:sz w:val="18"/>
                <w:szCs w:val="18"/>
                <w:lang w:eastAsia="en-GB"/>
              </w:rPr>
            </w:pPr>
            <w:r>
              <w:rPr>
                <w:rFonts w:ascii="Arial" w:eastAsia="Times New Roman" w:hAnsi="Arial" w:cs="Arial"/>
                <w:b/>
                <w:bCs/>
                <w:sz w:val="18"/>
                <w:szCs w:val="18"/>
                <w:lang w:eastAsia="en-GB"/>
              </w:rPr>
              <w:t>(25.8)</w:t>
            </w:r>
          </w:p>
        </w:tc>
        <w:tc>
          <w:tcPr>
            <w:tcW w:w="1532" w:type="dxa"/>
            <w:tcBorders>
              <w:top w:val="nil"/>
              <w:left w:val="nil"/>
              <w:bottom w:val="double" w:sz="4" w:space="0" w:color="auto"/>
              <w:right w:val="nil"/>
            </w:tcBorders>
            <w:noWrap/>
            <w:vAlign w:val="bottom"/>
            <w:hideMark/>
          </w:tcPr>
          <w:p w14:paraId="547FDA88" w14:textId="77777777" w:rsidR="00263A89" w:rsidRDefault="00263A89" w:rsidP="00263A89">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47BA75FF" w14:textId="77777777" w:rsidR="008C676E" w:rsidRDefault="008C676E" w:rsidP="008C676E">
      <w:pPr>
        <w:spacing w:after="0"/>
        <w:ind w:firstLine="720"/>
        <w:rPr>
          <w:rFonts w:ascii="Arial" w:hAnsi="Arial" w:cs="Arial"/>
          <w:sz w:val="20"/>
          <w:szCs w:val="20"/>
          <w:highlight w:val="yellow"/>
        </w:rPr>
      </w:pPr>
    </w:p>
    <w:p w14:paraId="574D9FA3" w14:textId="77777777" w:rsidR="008C676E" w:rsidRDefault="008C676E" w:rsidP="008C676E">
      <w:pPr>
        <w:spacing w:after="0"/>
        <w:rPr>
          <w:rFonts w:ascii="Arial" w:hAnsi="Arial" w:cs="Arial"/>
          <w:sz w:val="20"/>
          <w:szCs w:val="20"/>
          <w:highlight w:val="yellow"/>
        </w:rPr>
      </w:pPr>
    </w:p>
    <w:p w14:paraId="57F20E8C" w14:textId="77777777" w:rsidR="008C676E" w:rsidRDefault="008C676E" w:rsidP="008C676E">
      <w:pPr>
        <w:spacing w:after="0"/>
        <w:rPr>
          <w:rFonts w:ascii="Arial" w:hAnsi="Arial" w:cs="Arial"/>
          <w:sz w:val="20"/>
          <w:szCs w:val="20"/>
          <w:highlight w:val="yellow"/>
        </w:rPr>
      </w:pPr>
    </w:p>
    <w:p w14:paraId="51708FBA" w14:textId="77777777" w:rsidR="00D01DDA" w:rsidRDefault="00D01DDA" w:rsidP="008A1149">
      <w:pPr>
        <w:rPr>
          <w:rFonts w:ascii="Arial" w:eastAsia="Times New Roman" w:hAnsi="Arial" w:cs="Arial"/>
          <w:b/>
          <w:bCs/>
          <w:lang w:eastAsia="en-GB"/>
        </w:rPr>
      </w:pPr>
    </w:p>
    <w:p w14:paraId="2B5D17A4" w14:textId="77777777" w:rsidR="00D01DDA" w:rsidRDefault="00D01DDA" w:rsidP="008A1149">
      <w:pPr>
        <w:rPr>
          <w:rFonts w:ascii="Arial" w:eastAsia="Times New Roman" w:hAnsi="Arial" w:cs="Arial"/>
          <w:b/>
          <w:bCs/>
          <w:lang w:eastAsia="en-GB"/>
        </w:rPr>
      </w:pPr>
    </w:p>
    <w:p w14:paraId="744B307A" w14:textId="77777777" w:rsidR="00A139D5" w:rsidRDefault="00A139D5" w:rsidP="008A1149">
      <w:pPr>
        <w:rPr>
          <w:rFonts w:ascii="Arial" w:eastAsia="Times New Roman" w:hAnsi="Arial" w:cs="Arial"/>
          <w:b/>
          <w:bCs/>
          <w:lang w:eastAsia="en-GB"/>
        </w:rPr>
      </w:pPr>
    </w:p>
    <w:p w14:paraId="70399054" w14:textId="77777777" w:rsidR="00D01DDA" w:rsidRDefault="00D01DDA" w:rsidP="008A1149">
      <w:pPr>
        <w:rPr>
          <w:rFonts w:ascii="Arial" w:eastAsia="Times New Roman" w:hAnsi="Arial" w:cs="Arial"/>
          <w:b/>
          <w:bCs/>
          <w:lang w:eastAsia="en-GB"/>
        </w:rPr>
      </w:pPr>
    </w:p>
    <w:p w14:paraId="5FDEC580" w14:textId="77777777" w:rsidR="003F4669" w:rsidRDefault="003F4669" w:rsidP="008A1149">
      <w:pPr>
        <w:rPr>
          <w:rFonts w:ascii="Arial" w:eastAsia="Times New Roman" w:hAnsi="Arial" w:cs="Arial"/>
          <w:b/>
          <w:bCs/>
          <w:lang w:eastAsia="en-GB"/>
        </w:rPr>
      </w:pPr>
    </w:p>
    <w:p w14:paraId="061E40C9" w14:textId="77777777" w:rsidR="00D01DDA" w:rsidRDefault="00D01DDA" w:rsidP="008A1149">
      <w:pPr>
        <w:rPr>
          <w:rFonts w:ascii="Arial" w:eastAsia="Times New Roman" w:hAnsi="Arial" w:cs="Arial"/>
          <w:b/>
          <w:bCs/>
          <w:lang w:eastAsia="en-GB"/>
        </w:rPr>
      </w:pPr>
    </w:p>
    <w:p w14:paraId="4C5D0321" w14:textId="0B6FE9A7" w:rsidR="00B90303" w:rsidRPr="009C64CC" w:rsidRDefault="00B90303" w:rsidP="00F72BA1">
      <w:pPr>
        <w:rPr>
          <w:rFonts w:ascii="Arial" w:eastAsia="Times New Roman" w:hAnsi="Arial" w:cs="Arial"/>
          <w:sz w:val="20"/>
          <w:szCs w:val="20"/>
          <w:highlight w:val="yellow"/>
          <w:lang w:eastAsia="en-GB"/>
        </w:rPr>
      </w:pPr>
      <w:r w:rsidRPr="004E3583">
        <w:rPr>
          <w:rFonts w:ascii="Arial" w:eastAsia="Times New Roman" w:hAnsi="Arial" w:cs="Arial"/>
          <w:b/>
          <w:bCs/>
          <w:lang w:eastAsia="en-GB"/>
        </w:rPr>
        <w:lastRenderedPageBreak/>
        <w:t xml:space="preserve">Notes to the </w:t>
      </w:r>
      <w:r w:rsidR="004E3583" w:rsidRPr="004E3583">
        <w:rPr>
          <w:rFonts w:ascii="Arial" w:eastAsia="Times New Roman" w:hAnsi="Arial" w:cs="Arial"/>
          <w:b/>
          <w:bCs/>
          <w:lang w:eastAsia="en-GB"/>
        </w:rPr>
        <w:t>financial information for the year ended 31 March 2024</w:t>
      </w:r>
    </w:p>
    <w:p w14:paraId="26E15E57" w14:textId="77777777" w:rsidR="004E3583" w:rsidRPr="0077073D" w:rsidRDefault="004E3583" w:rsidP="004E3583">
      <w:pPr>
        <w:spacing w:after="0" w:line="240" w:lineRule="auto"/>
        <w:jc w:val="both"/>
        <w:rPr>
          <w:rFonts w:ascii="Arial" w:eastAsia="Times New Roman" w:hAnsi="Arial" w:cs="Arial"/>
          <w:b/>
          <w:bCs/>
          <w:color w:val="000000"/>
          <w:sz w:val="20"/>
          <w:szCs w:val="20"/>
          <w:lang w:eastAsia="en-GB"/>
        </w:rPr>
      </w:pPr>
      <w:r w:rsidRPr="0077073D">
        <w:rPr>
          <w:rFonts w:ascii="Arial" w:eastAsia="Times New Roman" w:hAnsi="Arial" w:cs="Arial"/>
          <w:b/>
          <w:bCs/>
          <w:color w:val="000000"/>
          <w:sz w:val="20"/>
          <w:szCs w:val="20"/>
          <w:lang w:eastAsia="en-GB"/>
        </w:rPr>
        <w:t>1. Basis of Preparation</w:t>
      </w:r>
    </w:p>
    <w:p w14:paraId="2EECFD15" w14:textId="77777777" w:rsidR="004E3583" w:rsidRPr="0077073D" w:rsidRDefault="004E3583" w:rsidP="004E3583">
      <w:pPr>
        <w:spacing w:after="0" w:line="240" w:lineRule="auto"/>
        <w:jc w:val="both"/>
        <w:rPr>
          <w:rFonts w:ascii="Arial" w:eastAsia="Times New Roman" w:hAnsi="Arial" w:cs="Arial"/>
          <w:b/>
          <w:bCs/>
          <w:color w:val="000000"/>
          <w:sz w:val="20"/>
          <w:szCs w:val="20"/>
          <w:lang w:eastAsia="en-GB"/>
        </w:rPr>
      </w:pPr>
    </w:p>
    <w:p w14:paraId="54B5E16C" w14:textId="77777777" w:rsidR="004E3583" w:rsidRPr="0077073D" w:rsidRDefault="004E3583" w:rsidP="004E3583">
      <w:pPr>
        <w:rPr>
          <w:rFonts w:ascii="Arial" w:hAnsi="Arial" w:cs="Arial"/>
          <w:i/>
          <w:iCs/>
          <w:sz w:val="20"/>
          <w:szCs w:val="20"/>
        </w:rPr>
      </w:pPr>
      <w:r w:rsidRPr="0077073D">
        <w:rPr>
          <w:rFonts w:ascii="Arial" w:hAnsi="Arial" w:cs="Arial"/>
          <w:i/>
          <w:iCs/>
          <w:sz w:val="20"/>
          <w:szCs w:val="20"/>
        </w:rPr>
        <w:t xml:space="preserve">Basis of preparation </w:t>
      </w:r>
    </w:p>
    <w:p w14:paraId="6095E16C" w14:textId="26BBB2FE" w:rsidR="004E3583" w:rsidRDefault="004E3583" w:rsidP="004E3583">
      <w:pPr>
        <w:jc w:val="both"/>
        <w:rPr>
          <w:rFonts w:ascii="Arial" w:hAnsi="Arial" w:cs="Arial"/>
          <w:sz w:val="20"/>
          <w:szCs w:val="20"/>
        </w:rPr>
      </w:pPr>
      <w:r w:rsidRPr="00CF3E1B">
        <w:rPr>
          <w:rFonts w:ascii="Arial" w:hAnsi="Arial" w:cs="Arial"/>
          <w:sz w:val="20"/>
          <w:szCs w:val="20"/>
        </w:rPr>
        <w:t xml:space="preserve">This preliminary announcement has been prepared in accordance with the recognition and measurement requirements of UK-adopted international accounting standards (IFRS) and the Companies Act 2006 and </w:t>
      </w:r>
      <w:r w:rsidR="0000347E">
        <w:rPr>
          <w:rFonts w:ascii="Arial" w:hAnsi="Arial" w:cs="Arial"/>
          <w:sz w:val="20"/>
          <w:szCs w:val="20"/>
        </w:rPr>
        <w:t xml:space="preserve">the applicable legal requirements of the Companies Act 2006. </w:t>
      </w:r>
    </w:p>
    <w:p w14:paraId="70F5C95E" w14:textId="42B4237E" w:rsidR="004E3583" w:rsidRDefault="004E3583" w:rsidP="004E3583">
      <w:pPr>
        <w:jc w:val="both"/>
        <w:rPr>
          <w:rFonts w:ascii="Arial" w:hAnsi="Arial" w:cs="Arial"/>
          <w:sz w:val="20"/>
          <w:szCs w:val="20"/>
        </w:rPr>
      </w:pPr>
      <w:r w:rsidRPr="00CF3E1B">
        <w:rPr>
          <w:rFonts w:ascii="Arial" w:hAnsi="Arial" w:cs="Arial"/>
          <w:sz w:val="20"/>
          <w:szCs w:val="20"/>
        </w:rPr>
        <w:t>The financial information for the year ended 31 March 202</w:t>
      </w:r>
      <w:r w:rsidR="0000347E">
        <w:rPr>
          <w:rFonts w:ascii="Arial" w:hAnsi="Arial" w:cs="Arial"/>
          <w:sz w:val="20"/>
          <w:szCs w:val="20"/>
        </w:rPr>
        <w:t>4</w:t>
      </w:r>
      <w:r w:rsidRPr="00CF3E1B">
        <w:rPr>
          <w:rFonts w:ascii="Arial" w:hAnsi="Arial" w:cs="Arial"/>
          <w:sz w:val="20"/>
          <w:szCs w:val="20"/>
        </w:rPr>
        <w:t xml:space="preserve"> and 31 March 202</w:t>
      </w:r>
      <w:r w:rsidR="0000347E">
        <w:rPr>
          <w:rFonts w:ascii="Arial" w:hAnsi="Arial" w:cs="Arial"/>
          <w:sz w:val="20"/>
          <w:szCs w:val="20"/>
        </w:rPr>
        <w:t>3</w:t>
      </w:r>
      <w:r w:rsidRPr="00CF3E1B">
        <w:rPr>
          <w:rFonts w:ascii="Arial" w:hAnsi="Arial" w:cs="Arial"/>
          <w:sz w:val="20"/>
          <w:szCs w:val="20"/>
        </w:rPr>
        <w:t xml:space="preserve"> does not constitute statutory financial information as defined in Section 434 of the Companies Act 2006 and does not contain </w:t>
      </w:r>
      <w:proofErr w:type="gramStart"/>
      <w:r w:rsidRPr="00CF3E1B">
        <w:rPr>
          <w:rFonts w:ascii="Arial" w:hAnsi="Arial" w:cs="Arial"/>
          <w:sz w:val="20"/>
          <w:szCs w:val="20"/>
        </w:rPr>
        <w:t>all of</w:t>
      </w:r>
      <w:proofErr w:type="gramEnd"/>
      <w:r w:rsidRPr="00CF3E1B">
        <w:rPr>
          <w:rFonts w:ascii="Arial" w:hAnsi="Arial" w:cs="Arial"/>
          <w:sz w:val="20"/>
          <w:szCs w:val="20"/>
        </w:rPr>
        <w:t xml:space="preserve"> the information required to be disclosed in a full set of IFRS financial statements. Statutory accounts for the year ended 31 March 202</w:t>
      </w:r>
      <w:r w:rsidR="0000347E">
        <w:rPr>
          <w:rFonts w:ascii="Arial" w:hAnsi="Arial" w:cs="Arial"/>
          <w:sz w:val="20"/>
          <w:szCs w:val="20"/>
        </w:rPr>
        <w:t>3</w:t>
      </w:r>
      <w:r w:rsidRPr="00CF3E1B">
        <w:rPr>
          <w:rFonts w:ascii="Arial" w:hAnsi="Arial" w:cs="Arial"/>
          <w:sz w:val="20"/>
          <w:szCs w:val="20"/>
        </w:rPr>
        <w:t xml:space="preserve"> have been delivered to the registrar of companies and those for the year ended 31 March 202</w:t>
      </w:r>
      <w:r w:rsidR="0000347E">
        <w:rPr>
          <w:rFonts w:ascii="Arial" w:hAnsi="Arial" w:cs="Arial"/>
          <w:sz w:val="20"/>
          <w:szCs w:val="20"/>
        </w:rPr>
        <w:t>4</w:t>
      </w:r>
      <w:r w:rsidRPr="00CF3E1B">
        <w:rPr>
          <w:rFonts w:ascii="Arial" w:hAnsi="Arial" w:cs="Arial"/>
          <w:sz w:val="20"/>
          <w:szCs w:val="20"/>
        </w:rPr>
        <w:t xml:space="preserve"> will be delivered to the registrar in due course. This announcement was approved by the Board of Directors and authorised for issue on </w:t>
      </w:r>
      <w:r w:rsidR="00263A89">
        <w:rPr>
          <w:rFonts w:ascii="Arial" w:hAnsi="Arial" w:cs="Arial"/>
          <w:sz w:val="20"/>
          <w:szCs w:val="20"/>
        </w:rPr>
        <w:t>2</w:t>
      </w:r>
      <w:r w:rsidR="00AD5CA9">
        <w:rPr>
          <w:rFonts w:ascii="Arial" w:hAnsi="Arial" w:cs="Arial"/>
          <w:sz w:val="20"/>
          <w:szCs w:val="20"/>
        </w:rPr>
        <w:t>2</w:t>
      </w:r>
      <w:r w:rsidRPr="00CF3E1B">
        <w:rPr>
          <w:rFonts w:ascii="Arial" w:hAnsi="Arial" w:cs="Arial"/>
          <w:sz w:val="20"/>
          <w:szCs w:val="20"/>
        </w:rPr>
        <w:t xml:space="preserve"> Ju</w:t>
      </w:r>
      <w:r w:rsidR="0000347E">
        <w:rPr>
          <w:rFonts w:ascii="Arial" w:hAnsi="Arial" w:cs="Arial"/>
          <w:sz w:val="20"/>
          <w:szCs w:val="20"/>
        </w:rPr>
        <w:t>ly</w:t>
      </w:r>
      <w:r w:rsidRPr="00CF3E1B">
        <w:rPr>
          <w:rFonts w:ascii="Arial" w:hAnsi="Arial" w:cs="Arial"/>
          <w:sz w:val="20"/>
          <w:szCs w:val="20"/>
        </w:rPr>
        <w:t xml:space="preserve"> 202</w:t>
      </w:r>
      <w:r w:rsidR="0000347E">
        <w:rPr>
          <w:rFonts w:ascii="Arial" w:hAnsi="Arial" w:cs="Arial"/>
          <w:sz w:val="20"/>
          <w:szCs w:val="20"/>
        </w:rPr>
        <w:t>4</w:t>
      </w:r>
      <w:r w:rsidRPr="00CF3E1B">
        <w:rPr>
          <w:rFonts w:ascii="Arial" w:hAnsi="Arial" w:cs="Arial"/>
          <w:sz w:val="20"/>
          <w:szCs w:val="20"/>
        </w:rPr>
        <w:t>. Statutory accounts for the year ended 31 March 202</w:t>
      </w:r>
      <w:r w:rsidR="0000347E">
        <w:rPr>
          <w:rFonts w:ascii="Arial" w:hAnsi="Arial" w:cs="Arial"/>
          <w:sz w:val="20"/>
          <w:szCs w:val="20"/>
        </w:rPr>
        <w:t>4</w:t>
      </w:r>
      <w:r w:rsidRPr="00CF3E1B">
        <w:rPr>
          <w:rFonts w:ascii="Arial" w:hAnsi="Arial" w:cs="Arial"/>
          <w:sz w:val="20"/>
          <w:szCs w:val="20"/>
        </w:rPr>
        <w:t xml:space="preserve"> have not yet been reported on by the Group’s Independent Auditor, RSM UK Audit LLP.</w:t>
      </w:r>
    </w:p>
    <w:p w14:paraId="15504C22" w14:textId="77777777" w:rsidR="004E3583" w:rsidRPr="0077073D" w:rsidRDefault="004E3583" w:rsidP="004E3583">
      <w:pPr>
        <w:jc w:val="both"/>
        <w:rPr>
          <w:rFonts w:ascii="Arial" w:hAnsi="Arial" w:cs="Arial"/>
          <w:sz w:val="20"/>
          <w:szCs w:val="20"/>
        </w:rPr>
      </w:pPr>
      <w:r w:rsidRPr="0030238A">
        <w:rPr>
          <w:rFonts w:ascii="Arial" w:hAnsi="Arial" w:cs="Arial"/>
          <w:sz w:val="20"/>
          <w:szCs w:val="20"/>
        </w:rPr>
        <w:t xml:space="preserve">The consolidated </w:t>
      </w:r>
      <w:r>
        <w:rPr>
          <w:rFonts w:ascii="Arial" w:hAnsi="Arial" w:cs="Arial"/>
          <w:sz w:val="20"/>
          <w:szCs w:val="20"/>
        </w:rPr>
        <w:t>preliminary results</w:t>
      </w:r>
      <w:r w:rsidRPr="0030238A">
        <w:rPr>
          <w:rFonts w:ascii="Arial" w:hAnsi="Arial" w:cs="Arial"/>
          <w:sz w:val="20"/>
          <w:szCs w:val="20"/>
        </w:rPr>
        <w:t xml:space="preserve"> are presented in pounds sterling and, unless stated otherwise, shown in pounds</w:t>
      </w:r>
      <w:r>
        <w:rPr>
          <w:rFonts w:ascii="Arial" w:hAnsi="Arial" w:cs="Arial"/>
          <w:sz w:val="20"/>
          <w:szCs w:val="20"/>
        </w:rPr>
        <w:t xml:space="preserve"> </w:t>
      </w:r>
      <w:r w:rsidRPr="0030238A">
        <w:rPr>
          <w:rFonts w:ascii="Arial" w:hAnsi="Arial" w:cs="Arial"/>
          <w:sz w:val="20"/>
          <w:szCs w:val="20"/>
        </w:rPr>
        <w:t>million to one decimal place.</w:t>
      </w:r>
    </w:p>
    <w:p w14:paraId="44857AA2" w14:textId="77777777" w:rsidR="004E3583" w:rsidRPr="00F72BA1" w:rsidRDefault="004E3583" w:rsidP="004E3583">
      <w:pPr>
        <w:rPr>
          <w:rFonts w:ascii="Arial" w:hAnsi="Arial" w:cs="Arial"/>
          <w:i/>
          <w:iCs/>
          <w:sz w:val="20"/>
          <w:szCs w:val="20"/>
        </w:rPr>
      </w:pPr>
      <w:r w:rsidRPr="00F72BA1">
        <w:rPr>
          <w:rFonts w:ascii="Arial" w:hAnsi="Arial" w:cs="Arial"/>
          <w:i/>
          <w:iCs/>
          <w:sz w:val="20"/>
          <w:szCs w:val="20"/>
        </w:rPr>
        <w:t xml:space="preserve">Going concern </w:t>
      </w:r>
    </w:p>
    <w:p w14:paraId="74665BF2" w14:textId="77777777" w:rsidR="00A139D5" w:rsidRPr="00A139D5" w:rsidRDefault="00A139D5" w:rsidP="00A139D5">
      <w:pPr>
        <w:rPr>
          <w:rFonts w:ascii="Arial" w:hAnsi="Arial" w:cs="Arial"/>
          <w:sz w:val="20"/>
          <w:szCs w:val="20"/>
        </w:rPr>
      </w:pPr>
      <w:bookmarkStart w:id="13" w:name="_Hlk172550960"/>
      <w:r w:rsidRPr="00A139D5">
        <w:rPr>
          <w:rFonts w:ascii="Arial" w:hAnsi="Arial" w:cs="Arial"/>
          <w:sz w:val="20"/>
          <w:szCs w:val="20"/>
        </w:rPr>
        <w:t>The Group’s business activities, together with the factors likely to affect its future development, performance, financial position, its cash flows, liquidity position, principal risks and uncertainties affecting the business are set out in the Business Review.</w:t>
      </w:r>
    </w:p>
    <w:p w14:paraId="25C6C138" w14:textId="77777777" w:rsidR="00A139D5" w:rsidRPr="00A139D5" w:rsidRDefault="00A139D5" w:rsidP="00A139D5">
      <w:pPr>
        <w:rPr>
          <w:rFonts w:ascii="Arial" w:hAnsi="Arial" w:cs="Arial"/>
          <w:sz w:val="20"/>
          <w:szCs w:val="20"/>
        </w:rPr>
      </w:pPr>
      <w:r w:rsidRPr="00A139D5">
        <w:rPr>
          <w:rFonts w:ascii="Arial" w:hAnsi="Arial" w:cs="Arial"/>
          <w:sz w:val="20"/>
          <w:szCs w:val="20"/>
        </w:rPr>
        <w:t>The Group meets its day-to-day working capital requirements through its financing facilities which were due to expire in February 2025 but were fully extinguished on 5 June 2024 following the Divestment.</w:t>
      </w:r>
    </w:p>
    <w:p w14:paraId="78798612" w14:textId="77777777" w:rsidR="00A139D5" w:rsidRPr="00A139D5" w:rsidRDefault="00A139D5" w:rsidP="00A139D5">
      <w:pPr>
        <w:rPr>
          <w:rFonts w:ascii="Arial" w:hAnsi="Arial" w:cs="Arial"/>
          <w:sz w:val="20"/>
          <w:szCs w:val="20"/>
        </w:rPr>
      </w:pPr>
      <w:r w:rsidRPr="00A139D5">
        <w:rPr>
          <w:rFonts w:ascii="Arial" w:hAnsi="Arial" w:cs="Arial"/>
          <w:sz w:val="20"/>
          <w:szCs w:val="20"/>
        </w:rPr>
        <w:t xml:space="preserve">On 24 June 2024, a new financing facility was put in place allowing the Group to draw up to a maximum of £100 million subject to certain covenants. To date there have been no drawdowns against the facility. Given that the underlying business is cash generating and having considered FY25 budgets and FY26 forecasts, the Directors are comfortable that the Group has adequate resources to meet its ongoing financing requirements. </w:t>
      </w:r>
    </w:p>
    <w:p w14:paraId="0A627039" w14:textId="10FE3A15" w:rsidR="00A139D5" w:rsidRPr="00A139D5" w:rsidRDefault="00A139D5" w:rsidP="00A139D5">
      <w:pPr>
        <w:rPr>
          <w:rFonts w:ascii="Arial" w:hAnsi="Arial" w:cs="Arial"/>
          <w:sz w:val="20"/>
          <w:szCs w:val="20"/>
        </w:rPr>
      </w:pPr>
      <w:r w:rsidRPr="00A139D5">
        <w:rPr>
          <w:rFonts w:ascii="Arial" w:hAnsi="Arial" w:cs="Arial"/>
          <w:sz w:val="20"/>
          <w:szCs w:val="20"/>
        </w:rPr>
        <w:t xml:space="preserve">Details of the Group’s borrowing facilities are given in note 10 of the financial </w:t>
      </w:r>
      <w:r w:rsidR="00263A89">
        <w:rPr>
          <w:rFonts w:ascii="Arial" w:hAnsi="Arial" w:cs="Arial"/>
          <w:sz w:val="20"/>
          <w:szCs w:val="20"/>
        </w:rPr>
        <w:t>information</w:t>
      </w:r>
      <w:r w:rsidRPr="00A139D5">
        <w:rPr>
          <w:rFonts w:ascii="Arial" w:hAnsi="Arial" w:cs="Arial"/>
          <w:sz w:val="20"/>
          <w:szCs w:val="20"/>
        </w:rPr>
        <w:t>. The Group’s budget for 2025 and forecasts for 2026, show that the Group should be able to operate within the level of its new facility and comply with the relevant covenants.</w:t>
      </w:r>
    </w:p>
    <w:p w14:paraId="4935419F" w14:textId="4F072D9C" w:rsidR="00C5620D" w:rsidRPr="00F72BA1" w:rsidRDefault="00A139D5" w:rsidP="00C5620D">
      <w:pPr>
        <w:jc w:val="both"/>
        <w:rPr>
          <w:rFonts w:ascii="Arial" w:hAnsi="Arial" w:cs="Arial"/>
          <w:sz w:val="20"/>
          <w:szCs w:val="20"/>
        </w:rPr>
      </w:pPr>
      <w:r w:rsidRPr="00A139D5">
        <w:rPr>
          <w:rFonts w:ascii="Arial" w:hAnsi="Arial" w:cs="Arial"/>
          <w:sz w:val="20"/>
          <w:szCs w:val="20"/>
        </w:rPr>
        <w:t xml:space="preserve">The Directors have a reasonable expectation that the Group has adequate resources to continue in operational existence for a period of at least 12 months from the approval date of this report and accordingly they continue to adopt the going concern basis of accounting in preparing the annual financial statements. In making this assessment, the Directors have considered the financing arrangements available to the Group and the Group’s cashflow forecasts, </w:t>
      </w:r>
      <w:proofErr w:type="gramStart"/>
      <w:r w:rsidRPr="00A139D5">
        <w:rPr>
          <w:rFonts w:ascii="Arial" w:hAnsi="Arial" w:cs="Arial"/>
          <w:sz w:val="20"/>
          <w:szCs w:val="20"/>
        </w:rPr>
        <w:t>taking into account</w:t>
      </w:r>
      <w:proofErr w:type="gramEnd"/>
      <w:r w:rsidRPr="00A139D5">
        <w:rPr>
          <w:rFonts w:ascii="Arial" w:hAnsi="Arial" w:cs="Arial"/>
          <w:sz w:val="20"/>
          <w:szCs w:val="20"/>
        </w:rPr>
        <w:t xml:space="preserve"> significant but plausible downside trading scenarios</w:t>
      </w:r>
    </w:p>
    <w:bookmarkEnd w:id="13"/>
    <w:p w14:paraId="41114646" w14:textId="77777777" w:rsidR="00B90303" w:rsidRPr="00D559E2" w:rsidRDefault="00B90303" w:rsidP="00B90303">
      <w:pPr>
        <w:spacing w:after="0" w:line="240" w:lineRule="auto"/>
        <w:jc w:val="both"/>
        <w:rPr>
          <w:rFonts w:ascii="Arial" w:eastAsia="Times New Roman" w:hAnsi="Arial" w:cs="Arial"/>
          <w:sz w:val="20"/>
          <w:szCs w:val="20"/>
          <w:lang w:eastAsia="en-GB"/>
        </w:rPr>
      </w:pPr>
    </w:p>
    <w:p w14:paraId="7B4E1B7D" w14:textId="0D13051C" w:rsidR="00B90303" w:rsidRDefault="008C676E" w:rsidP="00B90303">
      <w:pPr>
        <w:spacing w:after="0"/>
        <w:jc w:val="both"/>
        <w:rPr>
          <w:rFonts w:ascii="Arial" w:eastAsia="Times New Roman" w:hAnsi="Arial" w:cs="Arial"/>
          <w:sz w:val="20"/>
          <w:szCs w:val="20"/>
          <w:lang w:eastAsia="en-GB"/>
        </w:rPr>
      </w:pPr>
      <w:r w:rsidRPr="00D559E2">
        <w:rPr>
          <w:rFonts w:ascii="Arial" w:hAnsi="Arial" w:cs="Arial"/>
          <w:b/>
          <w:bCs/>
          <w:sz w:val="20"/>
          <w:szCs w:val="20"/>
          <w:lang w:eastAsia="en-GB"/>
        </w:rPr>
        <w:t>2. Segmental analysis</w:t>
      </w:r>
    </w:p>
    <w:p w14:paraId="278BB878" w14:textId="77777777" w:rsidR="00A61E77" w:rsidRPr="00A43702" w:rsidRDefault="00A61E77" w:rsidP="00B90303">
      <w:pPr>
        <w:spacing w:after="0"/>
        <w:jc w:val="both"/>
        <w:rPr>
          <w:rFonts w:ascii="Arial" w:hAnsi="Arial" w:cs="Arial"/>
          <w:b/>
          <w:bCs/>
          <w:sz w:val="20"/>
          <w:szCs w:val="20"/>
          <w:lang w:eastAsia="en-GB"/>
        </w:rPr>
      </w:pPr>
    </w:p>
    <w:p w14:paraId="6BA3054F" w14:textId="77777777" w:rsidR="008C676E" w:rsidRDefault="008C676E" w:rsidP="008C676E">
      <w:pPr>
        <w:spacing w:after="0"/>
        <w:jc w:val="both"/>
        <w:rPr>
          <w:rFonts w:ascii="Arial" w:hAnsi="Arial" w:cs="Arial"/>
          <w:sz w:val="20"/>
          <w:szCs w:val="20"/>
          <w:lang w:eastAsia="en-GB"/>
        </w:rPr>
      </w:pPr>
      <w:r w:rsidRPr="006160B8">
        <w:rPr>
          <w:rFonts w:ascii="Arial" w:hAnsi="Arial" w:cs="Arial"/>
          <w:sz w:val="20"/>
          <w:szCs w:val="20"/>
          <w:lang w:eastAsia="en-GB"/>
        </w:rPr>
        <w:t xml:space="preserve">The Group has been organised into two main reporting segments, </w:t>
      </w:r>
      <w:r>
        <w:rPr>
          <w:rFonts w:ascii="Arial" w:hAnsi="Arial" w:cs="Arial"/>
          <w:sz w:val="20"/>
          <w:szCs w:val="20"/>
          <w:lang w:eastAsia="en-GB"/>
        </w:rPr>
        <w:t>Occupational Health</w:t>
      </w:r>
      <w:r w:rsidRPr="006160B8">
        <w:rPr>
          <w:rFonts w:ascii="Arial" w:hAnsi="Arial" w:cs="Arial"/>
          <w:sz w:val="20"/>
          <w:szCs w:val="20"/>
          <w:lang w:eastAsia="en-GB"/>
        </w:rPr>
        <w:t xml:space="preserve"> (</w:t>
      </w:r>
      <w:r>
        <w:rPr>
          <w:rFonts w:ascii="Arial" w:hAnsi="Arial" w:cs="Arial"/>
          <w:sz w:val="20"/>
          <w:szCs w:val="20"/>
          <w:lang w:eastAsia="en-GB"/>
        </w:rPr>
        <w:t>“OH”</w:t>
      </w:r>
      <w:r w:rsidRPr="006160B8">
        <w:rPr>
          <w:rFonts w:ascii="Arial" w:hAnsi="Arial" w:cs="Arial"/>
          <w:sz w:val="20"/>
          <w:szCs w:val="20"/>
          <w:lang w:eastAsia="en-GB"/>
        </w:rPr>
        <w:t>) and Testing, Inspection &amp; Certification (“TIC”).  At each reporting date, the Group reviews its reporting segments to determine if the segment disclosure continues to be appropriate.</w:t>
      </w:r>
    </w:p>
    <w:p w14:paraId="680F8E6C" w14:textId="77777777" w:rsidR="008C676E" w:rsidRPr="006160B8" w:rsidRDefault="008C676E" w:rsidP="008C676E">
      <w:pPr>
        <w:spacing w:after="0"/>
        <w:jc w:val="both"/>
        <w:rPr>
          <w:rFonts w:ascii="Arial" w:hAnsi="Arial" w:cs="Arial"/>
          <w:sz w:val="20"/>
          <w:szCs w:val="20"/>
          <w:lang w:eastAsia="en-GB"/>
        </w:rPr>
      </w:pPr>
    </w:p>
    <w:p w14:paraId="37D7C6A3" w14:textId="36D0EF4A" w:rsidR="008C676E" w:rsidRDefault="008C676E" w:rsidP="008C676E">
      <w:pPr>
        <w:spacing w:after="0"/>
        <w:jc w:val="both"/>
        <w:rPr>
          <w:rFonts w:ascii="Arial" w:hAnsi="Arial" w:cs="Arial"/>
          <w:sz w:val="20"/>
          <w:szCs w:val="20"/>
          <w:lang w:eastAsia="en-GB"/>
        </w:rPr>
      </w:pPr>
      <w:r w:rsidRPr="006160B8">
        <w:rPr>
          <w:rFonts w:ascii="Arial" w:hAnsi="Arial" w:cs="Arial"/>
          <w:sz w:val="20"/>
          <w:szCs w:val="20"/>
          <w:lang w:eastAsia="en-GB"/>
        </w:rPr>
        <w:t xml:space="preserve">As described in the business review, the Board announced in February 2024 that it had entered into a binding agreement for the sale of certain </w:t>
      </w:r>
      <w:r>
        <w:rPr>
          <w:rFonts w:ascii="Arial" w:hAnsi="Arial" w:cs="Arial"/>
          <w:sz w:val="20"/>
          <w:szCs w:val="20"/>
          <w:lang w:eastAsia="en-GB"/>
        </w:rPr>
        <w:t>Governance, Risk &amp; Compliance (“</w:t>
      </w:r>
      <w:r w:rsidRPr="006160B8">
        <w:rPr>
          <w:rFonts w:ascii="Arial" w:hAnsi="Arial" w:cs="Arial"/>
          <w:sz w:val="20"/>
          <w:szCs w:val="20"/>
          <w:lang w:eastAsia="en-GB"/>
        </w:rPr>
        <w:t>GRC</w:t>
      </w:r>
      <w:r>
        <w:rPr>
          <w:rFonts w:ascii="Arial" w:hAnsi="Arial" w:cs="Arial"/>
          <w:sz w:val="20"/>
          <w:szCs w:val="20"/>
          <w:lang w:eastAsia="en-GB"/>
        </w:rPr>
        <w:t>”)</w:t>
      </w:r>
      <w:r w:rsidRPr="006160B8">
        <w:rPr>
          <w:rFonts w:ascii="Arial" w:hAnsi="Arial" w:cs="Arial"/>
          <w:sz w:val="20"/>
          <w:szCs w:val="20"/>
          <w:lang w:eastAsia="en-GB"/>
        </w:rPr>
        <w:t xml:space="preserve"> software and services assets. This included all assets from the </w:t>
      </w:r>
      <w:proofErr w:type="spellStart"/>
      <w:r w:rsidRPr="006160B8">
        <w:rPr>
          <w:rFonts w:ascii="Arial" w:hAnsi="Arial" w:cs="Arial"/>
          <w:sz w:val="20"/>
          <w:szCs w:val="20"/>
          <w:lang w:eastAsia="en-GB"/>
        </w:rPr>
        <w:t>Worknest</w:t>
      </w:r>
      <w:proofErr w:type="spellEnd"/>
      <w:r w:rsidRPr="006160B8">
        <w:rPr>
          <w:rFonts w:ascii="Arial" w:hAnsi="Arial" w:cs="Arial"/>
          <w:sz w:val="20"/>
          <w:szCs w:val="20"/>
          <w:lang w:eastAsia="en-GB"/>
        </w:rPr>
        <w:t xml:space="preserve">, Health and Safety compliance and </w:t>
      </w:r>
      <w:proofErr w:type="spellStart"/>
      <w:r w:rsidRPr="006160B8">
        <w:rPr>
          <w:rFonts w:ascii="Arial" w:hAnsi="Arial" w:cs="Arial"/>
          <w:sz w:val="20"/>
          <w:szCs w:val="20"/>
          <w:lang w:eastAsia="en-GB"/>
        </w:rPr>
        <w:t>Elogbooks</w:t>
      </w:r>
      <w:proofErr w:type="spellEnd"/>
      <w:r w:rsidRPr="006160B8">
        <w:rPr>
          <w:rFonts w:ascii="Arial" w:hAnsi="Arial" w:cs="Arial"/>
          <w:sz w:val="20"/>
          <w:szCs w:val="20"/>
          <w:lang w:eastAsia="en-GB"/>
        </w:rPr>
        <w:t xml:space="preserve"> operating segments.  The disposal completed on 31 May 2024 and the disposal group assets were classified as held for sale </w:t>
      </w:r>
      <w:proofErr w:type="gramStart"/>
      <w:r w:rsidRPr="006160B8">
        <w:rPr>
          <w:rFonts w:ascii="Arial" w:hAnsi="Arial" w:cs="Arial"/>
          <w:sz w:val="20"/>
          <w:szCs w:val="20"/>
          <w:lang w:eastAsia="en-GB"/>
        </w:rPr>
        <w:t>at</w:t>
      </w:r>
      <w:proofErr w:type="gramEnd"/>
      <w:r w:rsidRPr="006160B8">
        <w:rPr>
          <w:rFonts w:ascii="Arial" w:hAnsi="Arial" w:cs="Arial"/>
          <w:sz w:val="20"/>
          <w:szCs w:val="20"/>
          <w:lang w:eastAsia="en-GB"/>
        </w:rPr>
        <w:t xml:space="preserve"> 31 March 2024 and trading results classified as discontinued operations.</w:t>
      </w:r>
    </w:p>
    <w:p w14:paraId="6BEC294A" w14:textId="77777777" w:rsidR="008C676E" w:rsidRPr="006160B8" w:rsidRDefault="008C676E" w:rsidP="008C676E">
      <w:pPr>
        <w:spacing w:after="0"/>
        <w:jc w:val="both"/>
        <w:rPr>
          <w:rFonts w:ascii="Arial" w:hAnsi="Arial" w:cs="Arial"/>
          <w:sz w:val="20"/>
          <w:szCs w:val="20"/>
          <w:lang w:eastAsia="en-GB"/>
        </w:rPr>
      </w:pPr>
    </w:p>
    <w:p w14:paraId="5DF8E00F" w14:textId="77777777" w:rsidR="008C676E" w:rsidRDefault="008C676E" w:rsidP="008C676E">
      <w:pPr>
        <w:spacing w:after="0"/>
        <w:jc w:val="both"/>
        <w:rPr>
          <w:rFonts w:ascii="Arial" w:hAnsi="Arial" w:cs="Arial"/>
          <w:sz w:val="20"/>
          <w:szCs w:val="20"/>
          <w:lang w:eastAsia="en-GB"/>
        </w:rPr>
      </w:pPr>
      <w:r w:rsidRPr="006160B8">
        <w:rPr>
          <w:rFonts w:ascii="Arial" w:hAnsi="Arial" w:cs="Arial"/>
          <w:sz w:val="20"/>
          <w:szCs w:val="20"/>
          <w:lang w:eastAsia="en-GB"/>
        </w:rPr>
        <w:t xml:space="preserve">During the year, there has not been a significant change to the underlying nature of the retained business, nor did the impact of acquisitions change this. However, the disposal noted above has resulted in a change to the </w:t>
      </w:r>
      <w:r w:rsidRPr="006160B8">
        <w:rPr>
          <w:rFonts w:ascii="Arial" w:hAnsi="Arial" w:cs="Arial"/>
          <w:sz w:val="20"/>
          <w:szCs w:val="20"/>
          <w:lang w:eastAsia="en-GB"/>
        </w:rPr>
        <w:lastRenderedPageBreak/>
        <w:t>reportable segments with Occupational Health being the only operating segment continuing in the GRC division. Other than this, the results and economic characteristics of the business remains consistent with the prior year and therefore continuing to disclose the reportable segments consistently is appropriate for FY24. Given the disposal, however for clarity the</w:t>
      </w:r>
      <w:r>
        <w:rPr>
          <w:rFonts w:ascii="Arial" w:hAnsi="Arial" w:cs="Arial"/>
          <w:sz w:val="20"/>
          <w:szCs w:val="20"/>
          <w:lang w:eastAsia="en-GB"/>
        </w:rPr>
        <w:t xml:space="preserve"> continuing</w:t>
      </w:r>
      <w:r w:rsidRPr="006160B8">
        <w:rPr>
          <w:rFonts w:ascii="Arial" w:hAnsi="Arial" w:cs="Arial"/>
          <w:sz w:val="20"/>
          <w:szCs w:val="20"/>
          <w:lang w:eastAsia="en-GB"/>
        </w:rPr>
        <w:t xml:space="preserve"> GRC segment has been renamed Occupational Health (</w:t>
      </w:r>
      <w:r>
        <w:rPr>
          <w:rFonts w:ascii="Arial" w:hAnsi="Arial" w:cs="Arial"/>
          <w:sz w:val="20"/>
          <w:szCs w:val="20"/>
          <w:lang w:eastAsia="en-GB"/>
        </w:rPr>
        <w:t>“</w:t>
      </w:r>
      <w:r w:rsidRPr="006160B8">
        <w:rPr>
          <w:rFonts w:ascii="Arial" w:hAnsi="Arial" w:cs="Arial"/>
          <w:sz w:val="20"/>
          <w:szCs w:val="20"/>
          <w:lang w:eastAsia="en-GB"/>
        </w:rPr>
        <w:t>OH</w:t>
      </w:r>
      <w:r>
        <w:rPr>
          <w:rFonts w:ascii="Arial" w:hAnsi="Arial" w:cs="Arial"/>
          <w:sz w:val="20"/>
          <w:szCs w:val="20"/>
          <w:lang w:eastAsia="en-GB"/>
        </w:rPr>
        <w:t>”</w:t>
      </w:r>
      <w:r w:rsidRPr="006160B8">
        <w:rPr>
          <w:rFonts w:ascii="Arial" w:hAnsi="Arial" w:cs="Arial"/>
          <w:sz w:val="20"/>
          <w:szCs w:val="20"/>
          <w:lang w:eastAsia="en-GB"/>
        </w:rPr>
        <w:t>).</w:t>
      </w:r>
    </w:p>
    <w:p w14:paraId="2FB89A1C" w14:textId="77777777" w:rsidR="008C676E" w:rsidRPr="006160B8" w:rsidRDefault="008C676E" w:rsidP="008C676E">
      <w:pPr>
        <w:spacing w:after="0"/>
        <w:jc w:val="both"/>
        <w:rPr>
          <w:rFonts w:ascii="Arial" w:hAnsi="Arial" w:cs="Arial"/>
          <w:sz w:val="20"/>
          <w:szCs w:val="20"/>
          <w:lang w:eastAsia="en-GB"/>
        </w:rPr>
      </w:pPr>
      <w:r w:rsidRPr="006160B8">
        <w:rPr>
          <w:rFonts w:ascii="Arial" w:hAnsi="Arial" w:cs="Arial"/>
          <w:sz w:val="20"/>
          <w:szCs w:val="20"/>
          <w:lang w:eastAsia="en-GB"/>
        </w:rPr>
        <w:t xml:space="preserve"> </w:t>
      </w:r>
    </w:p>
    <w:p w14:paraId="57FCE4E9" w14:textId="4EE66F38" w:rsidR="008C676E" w:rsidRDefault="005E386C" w:rsidP="008C676E">
      <w:pPr>
        <w:spacing w:after="0"/>
        <w:jc w:val="both"/>
        <w:rPr>
          <w:rFonts w:ascii="Arial" w:hAnsi="Arial" w:cs="Arial"/>
          <w:sz w:val="20"/>
          <w:szCs w:val="20"/>
          <w:lang w:eastAsia="en-GB"/>
        </w:rPr>
      </w:pPr>
      <w:r>
        <w:rPr>
          <w:rFonts w:ascii="Arial" w:hAnsi="Arial" w:cs="Arial"/>
          <w:sz w:val="20"/>
          <w:szCs w:val="20"/>
          <w:lang w:eastAsia="en-GB"/>
        </w:rPr>
        <w:t xml:space="preserve">Services per segment as described in the business review. </w:t>
      </w:r>
      <w:r w:rsidR="008C676E" w:rsidRPr="006160B8">
        <w:rPr>
          <w:rFonts w:ascii="Arial" w:hAnsi="Arial" w:cs="Arial"/>
          <w:sz w:val="20"/>
          <w:szCs w:val="20"/>
          <w:lang w:eastAsia="en-GB"/>
        </w:rPr>
        <w:t xml:space="preserve">The key profit measures are revenue, adjusted EBITDA and adjusted profit before tax and are shown before acquisition and </w:t>
      </w:r>
      <w:r w:rsidR="008C676E">
        <w:rPr>
          <w:rFonts w:ascii="Arial" w:hAnsi="Arial" w:cs="Arial"/>
          <w:sz w:val="20"/>
          <w:szCs w:val="20"/>
          <w:lang w:eastAsia="en-GB"/>
        </w:rPr>
        <w:t>disposal</w:t>
      </w:r>
      <w:r w:rsidR="008C676E" w:rsidRPr="006160B8">
        <w:rPr>
          <w:rFonts w:ascii="Arial" w:hAnsi="Arial" w:cs="Arial"/>
          <w:sz w:val="20"/>
          <w:szCs w:val="20"/>
          <w:lang w:eastAsia="en-GB"/>
        </w:rPr>
        <w:t xml:space="preserve"> costs</w:t>
      </w:r>
      <w:r w:rsidR="008C676E">
        <w:rPr>
          <w:rFonts w:ascii="Arial" w:hAnsi="Arial" w:cs="Arial"/>
          <w:sz w:val="20"/>
          <w:szCs w:val="20"/>
          <w:lang w:eastAsia="en-GB"/>
        </w:rPr>
        <w:t>, restructuring costs</w:t>
      </w:r>
      <w:r w:rsidR="008C676E" w:rsidRPr="006160B8">
        <w:rPr>
          <w:rFonts w:ascii="Arial" w:hAnsi="Arial" w:cs="Arial"/>
          <w:sz w:val="20"/>
          <w:szCs w:val="20"/>
          <w:lang w:eastAsia="en-GB"/>
        </w:rPr>
        <w:t>, amortisation of acqui</w:t>
      </w:r>
      <w:r w:rsidR="008C676E">
        <w:rPr>
          <w:rFonts w:ascii="Arial" w:hAnsi="Arial" w:cs="Arial"/>
          <w:sz w:val="20"/>
          <w:szCs w:val="20"/>
          <w:lang w:eastAsia="en-GB"/>
        </w:rPr>
        <w:t>red</w:t>
      </w:r>
      <w:r w:rsidR="008C676E" w:rsidRPr="006160B8">
        <w:rPr>
          <w:rFonts w:ascii="Arial" w:hAnsi="Arial" w:cs="Arial"/>
          <w:sz w:val="20"/>
          <w:szCs w:val="20"/>
          <w:lang w:eastAsia="en-GB"/>
        </w:rPr>
        <w:t xml:space="preserve"> intangibles, fair value gains/losses in contingent consideration</w:t>
      </w:r>
      <w:r w:rsidR="008C676E">
        <w:rPr>
          <w:rFonts w:ascii="Arial" w:hAnsi="Arial" w:cs="Arial"/>
          <w:sz w:val="20"/>
          <w:szCs w:val="20"/>
          <w:lang w:eastAsia="en-GB"/>
        </w:rPr>
        <w:t>, acquisition related incentive schemes</w:t>
      </w:r>
      <w:r w:rsidR="008C676E" w:rsidRPr="006160B8">
        <w:rPr>
          <w:rFonts w:ascii="Arial" w:hAnsi="Arial" w:cs="Arial"/>
          <w:sz w:val="20"/>
          <w:szCs w:val="20"/>
          <w:lang w:eastAsia="en-GB"/>
        </w:rPr>
        <w:t>, and share based payments and legacy long-term incentives.</w:t>
      </w:r>
    </w:p>
    <w:p w14:paraId="1BE69617" w14:textId="77777777" w:rsidR="008C676E" w:rsidRDefault="008C676E" w:rsidP="008C676E">
      <w:pPr>
        <w:spacing w:after="0"/>
        <w:jc w:val="both"/>
        <w:rPr>
          <w:rFonts w:ascii="Arial" w:hAnsi="Arial" w:cs="Arial"/>
          <w:sz w:val="20"/>
          <w:szCs w:val="20"/>
          <w:lang w:eastAsia="en-GB"/>
        </w:rPr>
      </w:pPr>
    </w:p>
    <w:p w14:paraId="0F604603" w14:textId="52462FE1" w:rsidR="00A139D5" w:rsidRPr="00C233BE" w:rsidRDefault="008C676E" w:rsidP="008C676E">
      <w:pPr>
        <w:spacing w:after="0"/>
        <w:jc w:val="both"/>
        <w:rPr>
          <w:rFonts w:ascii="Arial" w:hAnsi="Arial" w:cs="Arial"/>
          <w:sz w:val="20"/>
          <w:szCs w:val="20"/>
          <w:lang w:eastAsia="en-GB"/>
        </w:rPr>
      </w:pPr>
      <w:proofErr w:type="gramStart"/>
      <w:r w:rsidRPr="00C233BE">
        <w:rPr>
          <w:rFonts w:ascii="Arial" w:hAnsi="Arial" w:cs="Arial"/>
          <w:sz w:val="20"/>
          <w:szCs w:val="20"/>
          <w:lang w:eastAsia="en-GB"/>
        </w:rPr>
        <w:t>The vast majority of</w:t>
      </w:r>
      <w:proofErr w:type="gramEnd"/>
      <w:r w:rsidRPr="00C233BE">
        <w:rPr>
          <w:rFonts w:ascii="Arial" w:hAnsi="Arial" w:cs="Arial"/>
          <w:sz w:val="20"/>
          <w:szCs w:val="20"/>
          <w:lang w:eastAsia="en-GB"/>
        </w:rPr>
        <w:t xml:space="preserve"> trading of the Group is undertaken within the United Kingdom. Segment assets include intangibles, property, plant and equipment, inventories, receivables and cash. Central assets include deferred tax and head office assets. Segment liabilities comprise operating liabilities. Central liabilities include deferred tax, corporate borrowings and head office liabilities. Capital expenditure comprises additions to application software, property, plant and equipment. Segment assets and liabilities are allocated between segments on an actual basis.</w:t>
      </w:r>
    </w:p>
    <w:p w14:paraId="642C95BB" w14:textId="77777777" w:rsidR="008C676E" w:rsidRDefault="008C676E" w:rsidP="008C676E">
      <w:pPr>
        <w:spacing w:after="0"/>
        <w:rPr>
          <w:rFonts w:ascii="Arial" w:hAnsi="Arial" w:cs="Arial"/>
          <w:i/>
          <w:iCs/>
          <w:sz w:val="20"/>
          <w:szCs w:val="20"/>
          <w:highlight w:val="yellow"/>
          <w:lang w:eastAsia="en-GB"/>
        </w:rPr>
      </w:pPr>
    </w:p>
    <w:p w14:paraId="219793CF" w14:textId="77777777" w:rsidR="008C676E" w:rsidRPr="00A43702" w:rsidRDefault="008C676E" w:rsidP="008C676E">
      <w:pPr>
        <w:spacing w:after="0"/>
        <w:rPr>
          <w:rFonts w:ascii="Arial" w:hAnsi="Arial" w:cs="Arial"/>
          <w:i/>
          <w:iCs/>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9"/>
        <w:gridCol w:w="888"/>
        <w:gridCol w:w="888"/>
        <w:gridCol w:w="889"/>
        <w:gridCol w:w="888"/>
        <w:gridCol w:w="888"/>
        <w:gridCol w:w="889"/>
        <w:gridCol w:w="888"/>
        <w:gridCol w:w="889"/>
      </w:tblGrid>
      <w:tr w:rsidR="008C676E" w:rsidRPr="006160B8" w14:paraId="5E3CDCDB" w14:textId="77777777" w:rsidTr="00AB1DC6">
        <w:trPr>
          <w:trHeight w:val="283"/>
        </w:trPr>
        <w:tc>
          <w:tcPr>
            <w:tcW w:w="2639" w:type="dxa"/>
            <w:vAlign w:val="center"/>
          </w:tcPr>
          <w:p w14:paraId="4F0E3567" w14:textId="71623E77" w:rsidR="008C676E" w:rsidRPr="00A43702" w:rsidRDefault="005E386C" w:rsidP="00AB1DC6">
            <w:pPr>
              <w:jc w:val="both"/>
              <w:rPr>
                <w:rFonts w:ascii="Arial" w:hAnsi="Arial" w:cs="Arial"/>
                <w:sz w:val="20"/>
                <w:szCs w:val="20"/>
              </w:rPr>
            </w:pPr>
            <w:r>
              <w:rPr>
                <w:rFonts w:ascii="Arial" w:hAnsi="Arial" w:cs="Arial"/>
                <w:sz w:val="20"/>
                <w:szCs w:val="20"/>
              </w:rPr>
              <w:t xml:space="preserve"> </w:t>
            </w:r>
          </w:p>
        </w:tc>
        <w:tc>
          <w:tcPr>
            <w:tcW w:w="3553" w:type="dxa"/>
            <w:gridSpan w:val="4"/>
            <w:vAlign w:val="bottom"/>
          </w:tcPr>
          <w:p w14:paraId="6F239C03" w14:textId="77777777" w:rsidR="008C676E" w:rsidRPr="00A43702" w:rsidRDefault="008C676E" w:rsidP="00AB1DC6">
            <w:pPr>
              <w:jc w:val="cente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2024</w:t>
            </w:r>
          </w:p>
        </w:tc>
        <w:tc>
          <w:tcPr>
            <w:tcW w:w="3554" w:type="dxa"/>
            <w:gridSpan w:val="4"/>
            <w:vAlign w:val="bottom"/>
          </w:tcPr>
          <w:p w14:paraId="44251900" w14:textId="77777777" w:rsidR="008C676E" w:rsidRPr="00A43702" w:rsidRDefault="008C676E" w:rsidP="00AB1DC6">
            <w:pPr>
              <w:jc w:val="cente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2023</w:t>
            </w:r>
          </w:p>
        </w:tc>
      </w:tr>
      <w:tr w:rsidR="008C676E" w:rsidRPr="006160B8" w14:paraId="04C71982" w14:textId="77777777" w:rsidTr="00AB1DC6">
        <w:trPr>
          <w:trHeight w:val="283"/>
        </w:trPr>
        <w:tc>
          <w:tcPr>
            <w:tcW w:w="2639" w:type="dxa"/>
            <w:vAlign w:val="center"/>
          </w:tcPr>
          <w:p w14:paraId="5FF19ED0" w14:textId="77777777" w:rsidR="008C676E" w:rsidRPr="00A43702" w:rsidRDefault="008C676E" w:rsidP="00AB1DC6">
            <w:pPr>
              <w:jc w:val="both"/>
              <w:rPr>
                <w:rFonts w:ascii="Arial" w:hAnsi="Arial" w:cs="Arial"/>
                <w:sz w:val="20"/>
                <w:szCs w:val="20"/>
              </w:rPr>
            </w:pPr>
            <w:bookmarkStart w:id="14" w:name="_Hlk169812793"/>
          </w:p>
        </w:tc>
        <w:tc>
          <w:tcPr>
            <w:tcW w:w="888" w:type="dxa"/>
            <w:vAlign w:val="bottom"/>
          </w:tcPr>
          <w:p w14:paraId="536688EC"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TIC</w:t>
            </w:r>
          </w:p>
        </w:tc>
        <w:tc>
          <w:tcPr>
            <w:tcW w:w="888" w:type="dxa"/>
            <w:vAlign w:val="bottom"/>
          </w:tcPr>
          <w:p w14:paraId="1F9FAD23"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OH</w:t>
            </w:r>
          </w:p>
        </w:tc>
        <w:tc>
          <w:tcPr>
            <w:tcW w:w="889" w:type="dxa"/>
            <w:vAlign w:val="bottom"/>
          </w:tcPr>
          <w:p w14:paraId="4BC1E4AA" w14:textId="77777777" w:rsidR="008C676E" w:rsidRPr="00A43702" w:rsidRDefault="008C676E" w:rsidP="00AB1DC6">
            <w:pPr>
              <w:jc w:val="right"/>
              <w:rPr>
                <w:rFonts w:ascii="Arial" w:hAnsi="Arial" w:cs="Arial"/>
                <w:sz w:val="20"/>
                <w:szCs w:val="20"/>
              </w:rPr>
            </w:pPr>
            <w:r w:rsidRPr="00A43702">
              <w:rPr>
                <w:rFonts w:ascii="Arial" w:eastAsia="Times New Roman" w:hAnsi="Arial" w:cs="Arial"/>
                <w:b/>
                <w:bCs/>
                <w:color w:val="000000"/>
                <w:sz w:val="20"/>
                <w:szCs w:val="20"/>
              </w:rPr>
              <w:t>Head Office</w:t>
            </w:r>
          </w:p>
        </w:tc>
        <w:tc>
          <w:tcPr>
            <w:tcW w:w="888" w:type="dxa"/>
            <w:vAlign w:val="bottom"/>
          </w:tcPr>
          <w:p w14:paraId="686E3C80" w14:textId="77777777" w:rsidR="008C676E" w:rsidRPr="00A43702" w:rsidRDefault="008C676E" w:rsidP="00AB1DC6">
            <w:pPr>
              <w:jc w:val="right"/>
              <w:rPr>
                <w:rFonts w:ascii="Arial" w:eastAsia="Times New Roman" w:hAnsi="Arial" w:cs="Arial"/>
                <w:b/>
                <w:bCs/>
                <w:color w:val="000000"/>
                <w:sz w:val="20"/>
                <w:szCs w:val="20"/>
              </w:rPr>
            </w:pPr>
          </w:p>
          <w:p w14:paraId="6813E62B" w14:textId="77777777" w:rsidR="008C676E" w:rsidRPr="00A43702" w:rsidRDefault="008C676E" w:rsidP="00AB1DC6">
            <w:pPr>
              <w:jc w:val="right"/>
              <w:rPr>
                <w:rFonts w:ascii="Arial" w:hAnsi="Arial" w:cs="Arial"/>
                <w:sz w:val="20"/>
                <w:szCs w:val="20"/>
              </w:rPr>
            </w:pPr>
            <w:r w:rsidRPr="00A43702">
              <w:rPr>
                <w:rFonts w:ascii="Arial" w:eastAsia="Times New Roman" w:hAnsi="Arial" w:cs="Arial"/>
                <w:b/>
                <w:bCs/>
                <w:color w:val="000000"/>
                <w:sz w:val="20"/>
                <w:szCs w:val="20"/>
              </w:rPr>
              <w:t>Total</w:t>
            </w:r>
          </w:p>
        </w:tc>
        <w:tc>
          <w:tcPr>
            <w:tcW w:w="888" w:type="dxa"/>
            <w:vAlign w:val="bottom"/>
          </w:tcPr>
          <w:p w14:paraId="5E72007F"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TIC</w:t>
            </w:r>
          </w:p>
        </w:tc>
        <w:tc>
          <w:tcPr>
            <w:tcW w:w="889" w:type="dxa"/>
            <w:vAlign w:val="bottom"/>
          </w:tcPr>
          <w:p w14:paraId="5689F229"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OH</w:t>
            </w:r>
          </w:p>
        </w:tc>
        <w:tc>
          <w:tcPr>
            <w:tcW w:w="888" w:type="dxa"/>
            <w:vAlign w:val="bottom"/>
          </w:tcPr>
          <w:p w14:paraId="051BE990"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Head Office</w:t>
            </w:r>
          </w:p>
        </w:tc>
        <w:tc>
          <w:tcPr>
            <w:tcW w:w="889" w:type="dxa"/>
            <w:vAlign w:val="bottom"/>
          </w:tcPr>
          <w:p w14:paraId="1ADBE48C" w14:textId="77777777" w:rsidR="008C676E" w:rsidRPr="00A43702" w:rsidRDefault="008C676E" w:rsidP="00AB1DC6">
            <w:pPr>
              <w:jc w:val="right"/>
              <w:rPr>
                <w:rFonts w:ascii="Arial" w:eastAsia="Times New Roman" w:hAnsi="Arial" w:cs="Arial"/>
                <w:b/>
                <w:bCs/>
                <w:color w:val="000000"/>
                <w:sz w:val="20"/>
                <w:szCs w:val="20"/>
              </w:rPr>
            </w:pPr>
          </w:p>
          <w:p w14:paraId="00DBA149"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Total</w:t>
            </w:r>
          </w:p>
        </w:tc>
      </w:tr>
      <w:bookmarkEnd w:id="14"/>
      <w:tr w:rsidR="008C676E" w:rsidRPr="006160B8" w14:paraId="609DFD74" w14:textId="77777777" w:rsidTr="00AB1DC6">
        <w:trPr>
          <w:trHeight w:val="283"/>
        </w:trPr>
        <w:tc>
          <w:tcPr>
            <w:tcW w:w="2639" w:type="dxa"/>
            <w:tcBorders>
              <w:bottom w:val="single" w:sz="4" w:space="0" w:color="auto"/>
            </w:tcBorders>
            <w:vAlign w:val="center"/>
          </w:tcPr>
          <w:p w14:paraId="652A353E" w14:textId="77777777" w:rsidR="008C676E" w:rsidRPr="00A43702" w:rsidRDefault="008C676E" w:rsidP="00AB1DC6">
            <w:pP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Continuing operations</w:t>
            </w:r>
          </w:p>
        </w:tc>
        <w:tc>
          <w:tcPr>
            <w:tcW w:w="888" w:type="dxa"/>
            <w:tcBorders>
              <w:bottom w:val="single" w:sz="4" w:space="0" w:color="auto"/>
            </w:tcBorders>
            <w:vAlign w:val="bottom"/>
          </w:tcPr>
          <w:p w14:paraId="1F496686" w14:textId="77777777" w:rsidR="008C676E" w:rsidRPr="00A43702" w:rsidRDefault="008C676E" w:rsidP="00AB1DC6">
            <w:pPr>
              <w:jc w:val="right"/>
              <w:rPr>
                <w:rFonts w:ascii="Arial" w:hAnsi="Arial" w:cs="Arial"/>
                <w:sz w:val="20"/>
                <w:szCs w:val="20"/>
              </w:rPr>
            </w:pPr>
            <w:r w:rsidRPr="00A43702">
              <w:rPr>
                <w:rFonts w:ascii="Arial" w:eastAsia="Times New Roman" w:hAnsi="Arial" w:cs="Arial"/>
                <w:b/>
                <w:bCs/>
                <w:color w:val="000000"/>
                <w:sz w:val="20"/>
                <w:szCs w:val="20"/>
              </w:rPr>
              <w:t>£'m</w:t>
            </w:r>
          </w:p>
        </w:tc>
        <w:tc>
          <w:tcPr>
            <w:tcW w:w="888" w:type="dxa"/>
            <w:tcBorders>
              <w:bottom w:val="single" w:sz="4" w:space="0" w:color="auto"/>
            </w:tcBorders>
            <w:vAlign w:val="bottom"/>
          </w:tcPr>
          <w:p w14:paraId="5DEED27C" w14:textId="77777777" w:rsidR="008C676E" w:rsidRPr="00A43702" w:rsidRDefault="008C676E" w:rsidP="00AB1DC6">
            <w:pPr>
              <w:jc w:val="right"/>
              <w:rPr>
                <w:rFonts w:ascii="Arial" w:hAnsi="Arial" w:cs="Arial"/>
                <w:sz w:val="20"/>
                <w:szCs w:val="20"/>
              </w:rPr>
            </w:pPr>
            <w:r w:rsidRPr="00A43702">
              <w:rPr>
                <w:rFonts w:ascii="Arial" w:eastAsia="Times New Roman" w:hAnsi="Arial" w:cs="Arial"/>
                <w:b/>
                <w:bCs/>
                <w:color w:val="000000"/>
                <w:sz w:val="20"/>
                <w:szCs w:val="20"/>
              </w:rPr>
              <w:t>£'m</w:t>
            </w:r>
          </w:p>
        </w:tc>
        <w:tc>
          <w:tcPr>
            <w:tcW w:w="889" w:type="dxa"/>
            <w:tcBorders>
              <w:bottom w:val="single" w:sz="4" w:space="0" w:color="auto"/>
            </w:tcBorders>
            <w:vAlign w:val="bottom"/>
          </w:tcPr>
          <w:p w14:paraId="2E0DB48B" w14:textId="77777777" w:rsidR="008C676E" w:rsidRPr="00A43702" w:rsidRDefault="008C676E" w:rsidP="00AB1DC6">
            <w:pPr>
              <w:jc w:val="right"/>
              <w:rPr>
                <w:rFonts w:ascii="Arial" w:hAnsi="Arial" w:cs="Arial"/>
                <w:sz w:val="20"/>
                <w:szCs w:val="20"/>
              </w:rPr>
            </w:pPr>
            <w:r w:rsidRPr="00A43702">
              <w:rPr>
                <w:rFonts w:ascii="Arial" w:eastAsia="Times New Roman" w:hAnsi="Arial" w:cs="Arial"/>
                <w:b/>
                <w:bCs/>
                <w:color w:val="000000"/>
                <w:sz w:val="20"/>
                <w:szCs w:val="20"/>
              </w:rPr>
              <w:t>£'m</w:t>
            </w:r>
          </w:p>
        </w:tc>
        <w:tc>
          <w:tcPr>
            <w:tcW w:w="888" w:type="dxa"/>
            <w:tcBorders>
              <w:bottom w:val="single" w:sz="4" w:space="0" w:color="auto"/>
            </w:tcBorders>
            <w:vAlign w:val="bottom"/>
          </w:tcPr>
          <w:p w14:paraId="5ED3F5A3" w14:textId="77777777" w:rsidR="008C676E" w:rsidRPr="00A43702" w:rsidRDefault="008C676E" w:rsidP="00AB1DC6">
            <w:pPr>
              <w:jc w:val="right"/>
              <w:rPr>
                <w:rFonts w:ascii="Arial" w:hAnsi="Arial" w:cs="Arial"/>
                <w:sz w:val="20"/>
                <w:szCs w:val="20"/>
              </w:rPr>
            </w:pPr>
            <w:r w:rsidRPr="00A43702">
              <w:rPr>
                <w:rFonts w:ascii="Arial" w:eastAsia="Times New Roman" w:hAnsi="Arial" w:cs="Arial"/>
                <w:b/>
                <w:bCs/>
                <w:color w:val="000000"/>
                <w:sz w:val="20"/>
                <w:szCs w:val="20"/>
              </w:rPr>
              <w:t>£'m</w:t>
            </w:r>
          </w:p>
        </w:tc>
        <w:tc>
          <w:tcPr>
            <w:tcW w:w="888" w:type="dxa"/>
            <w:tcBorders>
              <w:bottom w:val="single" w:sz="4" w:space="0" w:color="auto"/>
            </w:tcBorders>
            <w:vAlign w:val="bottom"/>
          </w:tcPr>
          <w:p w14:paraId="04835073"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889" w:type="dxa"/>
            <w:tcBorders>
              <w:bottom w:val="single" w:sz="4" w:space="0" w:color="auto"/>
            </w:tcBorders>
            <w:vAlign w:val="bottom"/>
          </w:tcPr>
          <w:p w14:paraId="3CB20446"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888" w:type="dxa"/>
            <w:tcBorders>
              <w:bottom w:val="single" w:sz="4" w:space="0" w:color="auto"/>
            </w:tcBorders>
            <w:vAlign w:val="bottom"/>
          </w:tcPr>
          <w:p w14:paraId="145AC9A0"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889" w:type="dxa"/>
            <w:tcBorders>
              <w:bottom w:val="single" w:sz="4" w:space="0" w:color="auto"/>
            </w:tcBorders>
            <w:vAlign w:val="bottom"/>
          </w:tcPr>
          <w:p w14:paraId="79F5AA95"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r>
      <w:tr w:rsidR="008C676E" w:rsidRPr="006160B8" w14:paraId="660D3860" w14:textId="77777777" w:rsidTr="00AB1DC6">
        <w:trPr>
          <w:trHeight w:val="283"/>
        </w:trPr>
        <w:tc>
          <w:tcPr>
            <w:tcW w:w="2639" w:type="dxa"/>
            <w:tcBorders>
              <w:top w:val="single" w:sz="4" w:space="0" w:color="auto"/>
              <w:bottom w:val="single" w:sz="4" w:space="0" w:color="auto"/>
            </w:tcBorders>
            <w:vAlign w:val="center"/>
          </w:tcPr>
          <w:p w14:paraId="28113790"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Revenue</w:t>
            </w:r>
          </w:p>
        </w:tc>
        <w:tc>
          <w:tcPr>
            <w:tcW w:w="888" w:type="dxa"/>
            <w:tcBorders>
              <w:top w:val="single" w:sz="4" w:space="0" w:color="auto"/>
              <w:bottom w:val="single" w:sz="4" w:space="0" w:color="auto"/>
            </w:tcBorders>
            <w:vAlign w:val="bottom"/>
          </w:tcPr>
          <w:p w14:paraId="378D62C9"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303.7</w:t>
            </w:r>
          </w:p>
        </w:tc>
        <w:tc>
          <w:tcPr>
            <w:tcW w:w="888" w:type="dxa"/>
            <w:tcBorders>
              <w:top w:val="single" w:sz="4" w:space="0" w:color="auto"/>
              <w:bottom w:val="single" w:sz="4" w:space="0" w:color="auto"/>
            </w:tcBorders>
            <w:vAlign w:val="bottom"/>
          </w:tcPr>
          <w:p w14:paraId="461379D5"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112.1</w:t>
            </w:r>
          </w:p>
        </w:tc>
        <w:tc>
          <w:tcPr>
            <w:tcW w:w="889" w:type="dxa"/>
            <w:tcBorders>
              <w:top w:val="single" w:sz="4" w:space="0" w:color="auto"/>
              <w:bottom w:val="single" w:sz="4" w:space="0" w:color="auto"/>
            </w:tcBorders>
            <w:vAlign w:val="bottom"/>
          </w:tcPr>
          <w:p w14:paraId="7435BEC9"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w:t>
            </w:r>
          </w:p>
        </w:tc>
        <w:tc>
          <w:tcPr>
            <w:tcW w:w="888" w:type="dxa"/>
            <w:tcBorders>
              <w:top w:val="single" w:sz="4" w:space="0" w:color="auto"/>
              <w:bottom w:val="single" w:sz="4" w:space="0" w:color="auto"/>
            </w:tcBorders>
            <w:vAlign w:val="bottom"/>
          </w:tcPr>
          <w:p w14:paraId="4CE52020"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415.8</w:t>
            </w:r>
          </w:p>
        </w:tc>
        <w:tc>
          <w:tcPr>
            <w:tcW w:w="888" w:type="dxa"/>
            <w:tcBorders>
              <w:top w:val="single" w:sz="4" w:space="0" w:color="auto"/>
              <w:bottom w:val="single" w:sz="4" w:space="0" w:color="auto"/>
            </w:tcBorders>
            <w:vAlign w:val="bottom"/>
          </w:tcPr>
          <w:p w14:paraId="0D0E5640"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276.6 </w:t>
            </w:r>
          </w:p>
        </w:tc>
        <w:tc>
          <w:tcPr>
            <w:tcW w:w="889" w:type="dxa"/>
            <w:tcBorders>
              <w:top w:val="single" w:sz="4" w:space="0" w:color="auto"/>
              <w:bottom w:val="single" w:sz="4" w:space="0" w:color="auto"/>
            </w:tcBorders>
            <w:vAlign w:val="bottom"/>
          </w:tcPr>
          <w:p w14:paraId="7A0F9AEE"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116.</w:t>
            </w:r>
            <w:r>
              <w:rPr>
                <w:rFonts w:ascii="Arial" w:hAnsi="Arial" w:cs="Arial"/>
                <w:sz w:val="20"/>
                <w:szCs w:val="20"/>
              </w:rPr>
              <w:t>7</w:t>
            </w:r>
            <w:r w:rsidRPr="00A43702">
              <w:rPr>
                <w:rFonts w:ascii="Arial" w:hAnsi="Arial" w:cs="Arial"/>
                <w:sz w:val="20"/>
                <w:szCs w:val="20"/>
              </w:rPr>
              <w:t xml:space="preserve"> </w:t>
            </w:r>
          </w:p>
        </w:tc>
        <w:tc>
          <w:tcPr>
            <w:tcW w:w="888" w:type="dxa"/>
            <w:tcBorders>
              <w:top w:val="single" w:sz="4" w:space="0" w:color="auto"/>
              <w:bottom w:val="single" w:sz="4" w:space="0" w:color="auto"/>
            </w:tcBorders>
            <w:vAlign w:val="bottom"/>
          </w:tcPr>
          <w:p w14:paraId="43B799D1"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 </w:t>
            </w:r>
          </w:p>
        </w:tc>
        <w:tc>
          <w:tcPr>
            <w:tcW w:w="889" w:type="dxa"/>
            <w:tcBorders>
              <w:top w:val="single" w:sz="4" w:space="0" w:color="auto"/>
              <w:bottom w:val="single" w:sz="4" w:space="0" w:color="auto"/>
            </w:tcBorders>
            <w:vAlign w:val="bottom"/>
          </w:tcPr>
          <w:p w14:paraId="7594BC6B"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393</w:t>
            </w:r>
            <w:r>
              <w:rPr>
                <w:rFonts w:ascii="Arial" w:hAnsi="Arial" w:cs="Arial"/>
                <w:sz w:val="20"/>
                <w:szCs w:val="20"/>
              </w:rPr>
              <w:t>.3</w:t>
            </w:r>
            <w:r w:rsidRPr="00A43702">
              <w:rPr>
                <w:rFonts w:ascii="Arial" w:hAnsi="Arial" w:cs="Arial"/>
                <w:sz w:val="20"/>
                <w:szCs w:val="20"/>
              </w:rPr>
              <w:t xml:space="preserve"> </w:t>
            </w:r>
          </w:p>
        </w:tc>
      </w:tr>
      <w:tr w:rsidR="008C676E" w:rsidRPr="006160B8" w14:paraId="58EAAFAE" w14:textId="77777777" w:rsidTr="00AB1DC6">
        <w:trPr>
          <w:trHeight w:val="283"/>
        </w:trPr>
        <w:tc>
          <w:tcPr>
            <w:tcW w:w="2639" w:type="dxa"/>
            <w:tcBorders>
              <w:top w:val="single" w:sz="4" w:space="0" w:color="auto"/>
            </w:tcBorders>
            <w:vAlign w:val="center"/>
          </w:tcPr>
          <w:p w14:paraId="24389D1C"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Inter-segment elimination</w:t>
            </w:r>
          </w:p>
        </w:tc>
        <w:tc>
          <w:tcPr>
            <w:tcW w:w="888" w:type="dxa"/>
            <w:tcBorders>
              <w:top w:val="single" w:sz="4" w:space="0" w:color="auto"/>
            </w:tcBorders>
            <w:vAlign w:val="bottom"/>
          </w:tcPr>
          <w:p w14:paraId="2AEFF3AB"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(11.4)</w:t>
            </w:r>
          </w:p>
        </w:tc>
        <w:tc>
          <w:tcPr>
            <w:tcW w:w="888" w:type="dxa"/>
            <w:tcBorders>
              <w:top w:val="single" w:sz="4" w:space="0" w:color="auto"/>
            </w:tcBorders>
            <w:vAlign w:val="bottom"/>
          </w:tcPr>
          <w:p w14:paraId="5263BF50"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(1.5)</w:t>
            </w:r>
          </w:p>
        </w:tc>
        <w:tc>
          <w:tcPr>
            <w:tcW w:w="889" w:type="dxa"/>
            <w:tcBorders>
              <w:top w:val="single" w:sz="4" w:space="0" w:color="auto"/>
            </w:tcBorders>
            <w:vAlign w:val="bottom"/>
          </w:tcPr>
          <w:p w14:paraId="57AF31E2"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w:t>
            </w:r>
          </w:p>
        </w:tc>
        <w:tc>
          <w:tcPr>
            <w:tcW w:w="888" w:type="dxa"/>
            <w:tcBorders>
              <w:top w:val="single" w:sz="4" w:space="0" w:color="auto"/>
            </w:tcBorders>
            <w:vAlign w:val="bottom"/>
          </w:tcPr>
          <w:p w14:paraId="7719926D"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(12.9)</w:t>
            </w:r>
          </w:p>
        </w:tc>
        <w:tc>
          <w:tcPr>
            <w:tcW w:w="888" w:type="dxa"/>
            <w:tcBorders>
              <w:top w:val="single" w:sz="4" w:space="0" w:color="auto"/>
            </w:tcBorders>
            <w:vAlign w:val="bottom"/>
          </w:tcPr>
          <w:p w14:paraId="2B134BF2"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(10.3)</w:t>
            </w:r>
          </w:p>
        </w:tc>
        <w:tc>
          <w:tcPr>
            <w:tcW w:w="889" w:type="dxa"/>
            <w:tcBorders>
              <w:top w:val="single" w:sz="4" w:space="0" w:color="auto"/>
            </w:tcBorders>
            <w:vAlign w:val="bottom"/>
          </w:tcPr>
          <w:p w14:paraId="1E554F91"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(1.1)</w:t>
            </w:r>
          </w:p>
        </w:tc>
        <w:tc>
          <w:tcPr>
            <w:tcW w:w="888" w:type="dxa"/>
            <w:tcBorders>
              <w:top w:val="single" w:sz="4" w:space="0" w:color="auto"/>
            </w:tcBorders>
            <w:vAlign w:val="bottom"/>
          </w:tcPr>
          <w:p w14:paraId="49DA408C"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 </w:t>
            </w:r>
          </w:p>
        </w:tc>
        <w:tc>
          <w:tcPr>
            <w:tcW w:w="889" w:type="dxa"/>
            <w:tcBorders>
              <w:top w:val="single" w:sz="4" w:space="0" w:color="auto"/>
            </w:tcBorders>
            <w:vAlign w:val="bottom"/>
          </w:tcPr>
          <w:p w14:paraId="54EB10A7"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(11.4)</w:t>
            </w:r>
          </w:p>
        </w:tc>
      </w:tr>
      <w:tr w:rsidR="008C676E" w:rsidRPr="006160B8" w14:paraId="266C432B" w14:textId="77777777" w:rsidTr="00AB1DC6">
        <w:trPr>
          <w:trHeight w:val="283"/>
        </w:trPr>
        <w:tc>
          <w:tcPr>
            <w:tcW w:w="2639" w:type="dxa"/>
            <w:tcBorders>
              <w:bottom w:val="single" w:sz="4" w:space="0" w:color="auto"/>
            </w:tcBorders>
            <w:vAlign w:val="center"/>
          </w:tcPr>
          <w:p w14:paraId="3E629E52"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Revenue from external customers</w:t>
            </w:r>
          </w:p>
        </w:tc>
        <w:tc>
          <w:tcPr>
            <w:tcW w:w="888" w:type="dxa"/>
            <w:tcBorders>
              <w:bottom w:val="single" w:sz="4" w:space="0" w:color="auto"/>
            </w:tcBorders>
            <w:vAlign w:val="bottom"/>
          </w:tcPr>
          <w:p w14:paraId="68609025"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292.</w:t>
            </w:r>
            <w:r>
              <w:rPr>
                <w:rFonts w:ascii="Arial" w:hAnsi="Arial" w:cs="Arial"/>
                <w:b/>
                <w:bCs/>
                <w:sz w:val="20"/>
                <w:szCs w:val="20"/>
              </w:rPr>
              <w:t>3</w:t>
            </w:r>
          </w:p>
        </w:tc>
        <w:tc>
          <w:tcPr>
            <w:tcW w:w="888" w:type="dxa"/>
            <w:tcBorders>
              <w:bottom w:val="single" w:sz="4" w:space="0" w:color="auto"/>
            </w:tcBorders>
            <w:vAlign w:val="bottom"/>
          </w:tcPr>
          <w:p w14:paraId="5B86CBE8"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110.6</w:t>
            </w:r>
          </w:p>
        </w:tc>
        <w:tc>
          <w:tcPr>
            <w:tcW w:w="889" w:type="dxa"/>
            <w:tcBorders>
              <w:bottom w:val="single" w:sz="4" w:space="0" w:color="auto"/>
            </w:tcBorders>
            <w:vAlign w:val="bottom"/>
          </w:tcPr>
          <w:p w14:paraId="5D4975C5"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w:t>
            </w:r>
          </w:p>
        </w:tc>
        <w:tc>
          <w:tcPr>
            <w:tcW w:w="888" w:type="dxa"/>
            <w:tcBorders>
              <w:bottom w:val="single" w:sz="4" w:space="0" w:color="auto"/>
            </w:tcBorders>
            <w:vAlign w:val="bottom"/>
          </w:tcPr>
          <w:p w14:paraId="6637F562"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402.9</w:t>
            </w:r>
          </w:p>
        </w:tc>
        <w:tc>
          <w:tcPr>
            <w:tcW w:w="888" w:type="dxa"/>
            <w:tcBorders>
              <w:bottom w:val="single" w:sz="4" w:space="0" w:color="auto"/>
            </w:tcBorders>
            <w:vAlign w:val="bottom"/>
          </w:tcPr>
          <w:p w14:paraId="0BCDA33F"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266.3 </w:t>
            </w:r>
          </w:p>
        </w:tc>
        <w:tc>
          <w:tcPr>
            <w:tcW w:w="889" w:type="dxa"/>
            <w:tcBorders>
              <w:bottom w:val="single" w:sz="4" w:space="0" w:color="auto"/>
            </w:tcBorders>
            <w:vAlign w:val="bottom"/>
          </w:tcPr>
          <w:p w14:paraId="6AFC57EA"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115.</w:t>
            </w:r>
            <w:r>
              <w:rPr>
                <w:rFonts w:ascii="Arial" w:hAnsi="Arial" w:cs="Arial"/>
                <w:sz w:val="20"/>
                <w:szCs w:val="20"/>
              </w:rPr>
              <w:t>6</w:t>
            </w:r>
            <w:r w:rsidRPr="00A43702">
              <w:rPr>
                <w:rFonts w:ascii="Arial" w:hAnsi="Arial" w:cs="Arial"/>
                <w:sz w:val="20"/>
                <w:szCs w:val="20"/>
              </w:rPr>
              <w:t xml:space="preserve"> </w:t>
            </w:r>
          </w:p>
        </w:tc>
        <w:tc>
          <w:tcPr>
            <w:tcW w:w="888" w:type="dxa"/>
            <w:tcBorders>
              <w:bottom w:val="single" w:sz="4" w:space="0" w:color="auto"/>
            </w:tcBorders>
            <w:vAlign w:val="bottom"/>
          </w:tcPr>
          <w:p w14:paraId="6DC59667"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 </w:t>
            </w:r>
          </w:p>
        </w:tc>
        <w:tc>
          <w:tcPr>
            <w:tcW w:w="889" w:type="dxa"/>
            <w:tcBorders>
              <w:bottom w:val="single" w:sz="4" w:space="0" w:color="auto"/>
            </w:tcBorders>
            <w:vAlign w:val="bottom"/>
          </w:tcPr>
          <w:p w14:paraId="5027EAEC"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381.</w:t>
            </w:r>
            <w:r>
              <w:rPr>
                <w:rFonts w:ascii="Arial" w:hAnsi="Arial" w:cs="Arial"/>
                <w:sz w:val="20"/>
                <w:szCs w:val="20"/>
              </w:rPr>
              <w:t>9</w:t>
            </w:r>
          </w:p>
        </w:tc>
      </w:tr>
      <w:tr w:rsidR="008C676E" w:rsidRPr="006160B8" w14:paraId="37A1F1EB" w14:textId="77777777" w:rsidTr="00AB1DC6">
        <w:trPr>
          <w:trHeight w:val="283"/>
        </w:trPr>
        <w:tc>
          <w:tcPr>
            <w:tcW w:w="2639" w:type="dxa"/>
            <w:tcBorders>
              <w:top w:val="single" w:sz="4" w:space="0" w:color="auto"/>
              <w:bottom w:val="single" w:sz="4" w:space="0" w:color="auto"/>
            </w:tcBorders>
            <w:vAlign w:val="center"/>
          </w:tcPr>
          <w:p w14:paraId="22597D86"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Segment adjusted operating profit/(loss)</w:t>
            </w:r>
          </w:p>
        </w:tc>
        <w:tc>
          <w:tcPr>
            <w:tcW w:w="888" w:type="dxa"/>
            <w:tcBorders>
              <w:top w:val="single" w:sz="4" w:space="0" w:color="auto"/>
              <w:bottom w:val="single" w:sz="4" w:space="0" w:color="auto"/>
            </w:tcBorders>
            <w:vAlign w:val="bottom"/>
          </w:tcPr>
          <w:p w14:paraId="5E313A4C"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23.</w:t>
            </w:r>
            <w:r>
              <w:rPr>
                <w:rFonts w:ascii="Arial" w:hAnsi="Arial" w:cs="Arial"/>
                <w:b/>
                <w:bCs/>
                <w:sz w:val="20"/>
                <w:szCs w:val="20"/>
              </w:rPr>
              <w:t>2</w:t>
            </w:r>
          </w:p>
        </w:tc>
        <w:tc>
          <w:tcPr>
            <w:tcW w:w="888" w:type="dxa"/>
            <w:tcBorders>
              <w:top w:val="single" w:sz="4" w:space="0" w:color="auto"/>
              <w:bottom w:val="single" w:sz="4" w:space="0" w:color="auto"/>
            </w:tcBorders>
            <w:vAlign w:val="bottom"/>
          </w:tcPr>
          <w:p w14:paraId="21964D6D"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13.6</w:t>
            </w:r>
          </w:p>
        </w:tc>
        <w:tc>
          <w:tcPr>
            <w:tcW w:w="889" w:type="dxa"/>
            <w:tcBorders>
              <w:top w:val="single" w:sz="4" w:space="0" w:color="auto"/>
              <w:bottom w:val="single" w:sz="4" w:space="0" w:color="auto"/>
            </w:tcBorders>
            <w:vAlign w:val="bottom"/>
          </w:tcPr>
          <w:p w14:paraId="1E2523F2"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4.7</w:t>
            </w:r>
            <w:r w:rsidRPr="00A43702">
              <w:rPr>
                <w:rFonts w:ascii="Arial" w:hAnsi="Arial" w:cs="Arial"/>
                <w:b/>
                <w:bCs/>
                <w:sz w:val="20"/>
                <w:szCs w:val="20"/>
              </w:rPr>
              <w:t>)</w:t>
            </w:r>
          </w:p>
        </w:tc>
        <w:tc>
          <w:tcPr>
            <w:tcW w:w="888" w:type="dxa"/>
            <w:tcBorders>
              <w:top w:val="single" w:sz="4" w:space="0" w:color="auto"/>
              <w:bottom w:val="single" w:sz="4" w:space="0" w:color="auto"/>
            </w:tcBorders>
            <w:vAlign w:val="bottom"/>
          </w:tcPr>
          <w:p w14:paraId="11E0AA1F"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32.1</w:t>
            </w:r>
          </w:p>
        </w:tc>
        <w:tc>
          <w:tcPr>
            <w:tcW w:w="888" w:type="dxa"/>
            <w:tcBorders>
              <w:top w:val="single" w:sz="4" w:space="0" w:color="auto"/>
              <w:bottom w:val="single" w:sz="4" w:space="0" w:color="auto"/>
            </w:tcBorders>
            <w:vAlign w:val="bottom"/>
          </w:tcPr>
          <w:p w14:paraId="72EB2B5E"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23.4 </w:t>
            </w:r>
          </w:p>
        </w:tc>
        <w:tc>
          <w:tcPr>
            <w:tcW w:w="889" w:type="dxa"/>
            <w:tcBorders>
              <w:top w:val="single" w:sz="4" w:space="0" w:color="auto"/>
              <w:bottom w:val="single" w:sz="4" w:space="0" w:color="auto"/>
            </w:tcBorders>
            <w:vAlign w:val="bottom"/>
          </w:tcPr>
          <w:p w14:paraId="42EBB99F" w14:textId="77777777" w:rsidR="008C676E" w:rsidRPr="00A43702" w:rsidRDefault="008C676E" w:rsidP="00AB1DC6">
            <w:pPr>
              <w:jc w:val="right"/>
              <w:rPr>
                <w:rFonts w:ascii="Arial" w:hAnsi="Arial" w:cs="Arial"/>
                <w:sz w:val="20"/>
                <w:szCs w:val="20"/>
              </w:rPr>
            </w:pPr>
            <w:r>
              <w:rPr>
                <w:rFonts w:ascii="Arial" w:hAnsi="Arial" w:cs="Arial"/>
                <w:sz w:val="20"/>
                <w:szCs w:val="20"/>
              </w:rPr>
              <w:t>18.0</w:t>
            </w:r>
            <w:r w:rsidRPr="00A43702">
              <w:rPr>
                <w:rFonts w:ascii="Arial" w:hAnsi="Arial" w:cs="Arial"/>
                <w:sz w:val="20"/>
                <w:szCs w:val="20"/>
              </w:rPr>
              <w:t xml:space="preserve"> </w:t>
            </w:r>
          </w:p>
        </w:tc>
        <w:tc>
          <w:tcPr>
            <w:tcW w:w="888" w:type="dxa"/>
            <w:tcBorders>
              <w:top w:val="single" w:sz="4" w:space="0" w:color="auto"/>
              <w:bottom w:val="single" w:sz="4" w:space="0" w:color="auto"/>
            </w:tcBorders>
            <w:vAlign w:val="bottom"/>
          </w:tcPr>
          <w:p w14:paraId="683CE7FE"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(5.4)</w:t>
            </w:r>
          </w:p>
        </w:tc>
        <w:tc>
          <w:tcPr>
            <w:tcW w:w="889" w:type="dxa"/>
            <w:tcBorders>
              <w:top w:val="single" w:sz="4" w:space="0" w:color="auto"/>
              <w:bottom w:val="single" w:sz="4" w:space="0" w:color="auto"/>
            </w:tcBorders>
            <w:vAlign w:val="bottom"/>
          </w:tcPr>
          <w:p w14:paraId="039CF64F" w14:textId="77777777" w:rsidR="008C676E" w:rsidRPr="00A43702" w:rsidRDefault="008C676E" w:rsidP="00AB1DC6">
            <w:pPr>
              <w:jc w:val="right"/>
              <w:rPr>
                <w:rFonts w:ascii="Arial" w:hAnsi="Arial" w:cs="Arial"/>
                <w:sz w:val="20"/>
                <w:szCs w:val="20"/>
              </w:rPr>
            </w:pPr>
            <w:r>
              <w:rPr>
                <w:rFonts w:ascii="Arial" w:hAnsi="Arial" w:cs="Arial"/>
                <w:sz w:val="20"/>
                <w:szCs w:val="20"/>
              </w:rPr>
              <w:t>36.0</w:t>
            </w:r>
            <w:r w:rsidRPr="00A43702">
              <w:rPr>
                <w:rFonts w:ascii="Arial" w:hAnsi="Arial" w:cs="Arial"/>
                <w:sz w:val="20"/>
                <w:szCs w:val="20"/>
              </w:rPr>
              <w:t xml:space="preserve"> </w:t>
            </w:r>
          </w:p>
        </w:tc>
      </w:tr>
      <w:tr w:rsidR="008C676E" w:rsidRPr="006160B8" w14:paraId="4B396F17" w14:textId="77777777" w:rsidTr="00AB1DC6">
        <w:trPr>
          <w:trHeight w:val="283"/>
        </w:trPr>
        <w:tc>
          <w:tcPr>
            <w:tcW w:w="2639" w:type="dxa"/>
            <w:tcBorders>
              <w:top w:val="single" w:sz="4" w:space="0" w:color="auto"/>
            </w:tcBorders>
            <w:vAlign w:val="center"/>
          </w:tcPr>
          <w:p w14:paraId="5ACA8735"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Acquisition and disposal costs (including strategic review costs)</w:t>
            </w:r>
          </w:p>
        </w:tc>
        <w:tc>
          <w:tcPr>
            <w:tcW w:w="888" w:type="dxa"/>
            <w:tcBorders>
              <w:top w:val="single" w:sz="4" w:space="0" w:color="auto"/>
            </w:tcBorders>
            <w:vAlign w:val="bottom"/>
          </w:tcPr>
          <w:p w14:paraId="26B1D6FE"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0F91A6D8" w14:textId="77777777" w:rsidR="008C676E" w:rsidRPr="00A43702" w:rsidRDefault="008C676E" w:rsidP="00AB1DC6">
            <w:pPr>
              <w:jc w:val="right"/>
              <w:rPr>
                <w:rFonts w:ascii="Arial" w:hAnsi="Arial" w:cs="Arial"/>
                <w:b/>
                <w:bCs/>
                <w:sz w:val="20"/>
                <w:szCs w:val="20"/>
              </w:rPr>
            </w:pPr>
          </w:p>
        </w:tc>
        <w:tc>
          <w:tcPr>
            <w:tcW w:w="889" w:type="dxa"/>
            <w:tcBorders>
              <w:top w:val="single" w:sz="4" w:space="0" w:color="auto"/>
            </w:tcBorders>
            <w:vAlign w:val="bottom"/>
          </w:tcPr>
          <w:p w14:paraId="61BA5467"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4444EC81"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(5.1)</w:t>
            </w:r>
          </w:p>
        </w:tc>
        <w:tc>
          <w:tcPr>
            <w:tcW w:w="888" w:type="dxa"/>
            <w:tcBorders>
              <w:top w:val="single" w:sz="4" w:space="0" w:color="auto"/>
            </w:tcBorders>
            <w:vAlign w:val="bottom"/>
          </w:tcPr>
          <w:p w14:paraId="2331D8B9"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tcBorders>
            <w:vAlign w:val="bottom"/>
          </w:tcPr>
          <w:p w14:paraId="4A53EC1A" w14:textId="77777777" w:rsidR="008C676E" w:rsidRPr="00A43702" w:rsidRDefault="008C676E" w:rsidP="00AB1DC6">
            <w:pPr>
              <w:jc w:val="right"/>
              <w:rPr>
                <w:rFonts w:ascii="Arial" w:eastAsia="Times New Roman" w:hAnsi="Arial" w:cs="Arial"/>
                <w:color w:val="000000"/>
                <w:sz w:val="20"/>
                <w:szCs w:val="20"/>
              </w:rPr>
            </w:pPr>
          </w:p>
        </w:tc>
        <w:tc>
          <w:tcPr>
            <w:tcW w:w="888" w:type="dxa"/>
            <w:tcBorders>
              <w:top w:val="single" w:sz="4" w:space="0" w:color="auto"/>
            </w:tcBorders>
            <w:vAlign w:val="bottom"/>
          </w:tcPr>
          <w:p w14:paraId="10957272"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tcBorders>
            <w:vAlign w:val="bottom"/>
          </w:tcPr>
          <w:p w14:paraId="50544073"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(1.4)</w:t>
            </w:r>
          </w:p>
        </w:tc>
      </w:tr>
      <w:tr w:rsidR="008C676E" w:rsidRPr="006160B8" w14:paraId="04EF4217" w14:textId="77777777" w:rsidTr="00AB1DC6">
        <w:trPr>
          <w:trHeight w:val="283"/>
        </w:trPr>
        <w:tc>
          <w:tcPr>
            <w:tcW w:w="2639" w:type="dxa"/>
            <w:vAlign w:val="center"/>
          </w:tcPr>
          <w:p w14:paraId="7567B419"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Restructuring costs</w:t>
            </w:r>
          </w:p>
        </w:tc>
        <w:tc>
          <w:tcPr>
            <w:tcW w:w="888" w:type="dxa"/>
            <w:vAlign w:val="bottom"/>
          </w:tcPr>
          <w:p w14:paraId="26750EC2" w14:textId="77777777" w:rsidR="008C676E" w:rsidRPr="00A43702" w:rsidRDefault="008C676E" w:rsidP="00AB1DC6">
            <w:pPr>
              <w:jc w:val="right"/>
              <w:rPr>
                <w:rFonts w:ascii="Arial" w:hAnsi="Arial" w:cs="Arial"/>
                <w:b/>
                <w:bCs/>
                <w:sz w:val="20"/>
                <w:szCs w:val="20"/>
              </w:rPr>
            </w:pPr>
          </w:p>
        </w:tc>
        <w:tc>
          <w:tcPr>
            <w:tcW w:w="888" w:type="dxa"/>
            <w:vAlign w:val="bottom"/>
          </w:tcPr>
          <w:p w14:paraId="73C3DCB3" w14:textId="77777777" w:rsidR="008C676E" w:rsidRPr="00A43702" w:rsidRDefault="008C676E" w:rsidP="00AB1DC6">
            <w:pPr>
              <w:jc w:val="right"/>
              <w:rPr>
                <w:rFonts w:ascii="Arial" w:hAnsi="Arial" w:cs="Arial"/>
                <w:b/>
                <w:bCs/>
                <w:sz w:val="20"/>
                <w:szCs w:val="20"/>
              </w:rPr>
            </w:pPr>
          </w:p>
        </w:tc>
        <w:tc>
          <w:tcPr>
            <w:tcW w:w="889" w:type="dxa"/>
            <w:vAlign w:val="bottom"/>
          </w:tcPr>
          <w:p w14:paraId="3BF6B005" w14:textId="77777777" w:rsidR="008C676E" w:rsidRPr="00A43702" w:rsidRDefault="008C676E" w:rsidP="00AB1DC6">
            <w:pPr>
              <w:jc w:val="right"/>
              <w:rPr>
                <w:rFonts w:ascii="Arial" w:hAnsi="Arial" w:cs="Arial"/>
                <w:b/>
                <w:bCs/>
                <w:sz w:val="20"/>
                <w:szCs w:val="20"/>
              </w:rPr>
            </w:pPr>
          </w:p>
        </w:tc>
        <w:tc>
          <w:tcPr>
            <w:tcW w:w="888" w:type="dxa"/>
            <w:vAlign w:val="bottom"/>
          </w:tcPr>
          <w:p w14:paraId="01CB865D"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(14.6)</w:t>
            </w:r>
          </w:p>
        </w:tc>
        <w:tc>
          <w:tcPr>
            <w:tcW w:w="888" w:type="dxa"/>
            <w:vAlign w:val="bottom"/>
          </w:tcPr>
          <w:p w14:paraId="77EE4964"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0B827699" w14:textId="77777777" w:rsidR="008C676E" w:rsidRPr="00A43702" w:rsidRDefault="008C676E" w:rsidP="00AB1DC6">
            <w:pPr>
              <w:jc w:val="right"/>
              <w:rPr>
                <w:rFonts w:ascii="Arial" w:eastAsia="Times New Roman" w:hAnsi="Arial" w:cs="Arial"/>
                <w:color w:val="000000"/>
                <w:sz w:val="20"/>
                <w:szCs w:val="20"/>
              </w:rPr>
            </w:pPr>
          </w:p>
        </w:tc>
        <w:tc>
          <w:tcPr>
            <w:tcW w:w="888" w:type="dxa"/>
            <w:vAlign w:val="bottom"/>
          </w:tcPr>
          <w:p w14:paraId="270C79F7"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24AFBCEB"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(15.2)</w:t>
            </w:r>
          </w:p>
        </w:tc>
      </w:tr>
      <w:tr w:rsidR="008C676E" w:rsidRPr="006160B8" w14:paraId="1BBEEBC4" w14:textId="77777777" w:rsidTr="00AB1DC6">
        <w:trPr>
          <w:trHeight w:val="283"/>
        </w:trPr>
        <w:tc>
          <w:tcPr>
            <w:tcW w:w="2639" w:type="dxa"/>
            <w:vAlign w:val="center"/>
          </w:tcPr>
          <w:p w14:paraId="69C7211A"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Amortisation of acqui</w:t>
            </w:r>
            <w:r>
              <w:rPr>
                <w:rFonts w:ascii="Arial" w:eastAsia="Times New Roman" w:hAnsi="Arial" w:cs="Arial"/>
                <w:color w:val="000000"/>
                <w:sz w:val="20"/>
                <w:szCs w:val="20"/>
              </w:rPr>
              <w:t>red</w:t>
            </w:r>
            <w:r w:rsidRPr="00A43702">
              <w:rPr>
                <w:rFonts w:ascii="Arial" w:eastAsia="Times New Roman" w:hAnsi="Arial" w:cs="Arial"/>
                <w:color w:val="000000"/>
                <w:sz w:val="20"/>
                <w:szCs w:val="20"/>
              </w:rPr>
              <w:t xml:space="preserve"> intangibles</w:t>
            </w:r>
          </w:p>
        </w:tc>
        <w:tc>
          <w:tcPr>
            <w:tcW w:w="888" w:type="dxa"/>
            <w:vAlign w:val="bottom"/>
          </w:tcPr>
          <w:p w14:paraId="174DDDDB" w14:textId="77777777" w:rsidR="008C676E" w:rsidRPr="00A43702" w:rsidRDefault="008C676E" w:rsidP="00AB1DC6">
            <w:pPr>
              <w:jc w:val="right"/>
              <w:rPr>
                <w:rFonts w:ascii="Arial" w:hAnsi="Arial" w:cs="Arial"/>
                <w:b/>
                <w:bCs/>
                <w:sz w:val="20"/>
                <w:szCs w:val="20"/>
              </w:rPr>
            </w:pPr>
          </w:p>
        </w:tc>
        <w:tc>
          <w:tcPr>
            <w:tcW w:w="888" w:type="dxa"/>
            <w:vAlign w:val="bottom"/>
          </w:tcPr>
          <w:p w14:paraId="2144D441" w14:textId="77777777" w:rsidR="008C676E" w:rsidRPr="00A43702" w:rsidRDefault="008C676E" w:rsidP="00AB1DC6">
            <w:pPr>
              <w:jc w:val="right"/>
              <w:rPr>
                <w:rFonts w:ascii="Arial" w:hAnsi="Arial" w:cs="Arial"/>
                <w:b/>
                <w:bCs/>
                <w:sz w:val="20"/>
                <w:szCs w:val="20"/>
              </w:rPr>
            </w:pPr>
          </w:p>
        </w:tc>
        <w:tc>
          <w:tcPr>
            <w:tcW w:w="889" w:type="dxa"/>
            <w:vAlign w:val="bottom"/>
          </w:tcPr>
          <w:p w14:paraId="688F9635" w14:textId="77777777" w:rsidR="008C676E" w:rsidRPr="00A43702" w:rsidRDefault="008C676E" w:rsidP="00AB1DC6">
            <w:pPr>
              <w:jc w:val="right"/>
              <w:rPr>
                <w:rFonts w:ascii="Arial" w:hAnsi="Arial" w:cs="Arial"/>
                <w:b/>
                <w:bCs/>
                <w:sz w:val="20"/>
                <w:szCs w:val="20"/>
              </w:rPr>
            </w:pPr>
          </w:p>
        </w:tc>
        <w:tc>
          <w:tcPr>
            <w:tcW w:w="888" w:type="dxa"/>
            <w:vAlign w:val="bottom"/>
          </w:tcPr>
          <w:p w14:paraId="67824BDD"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13.2</w:t>
            </w:r>
            <w:r w:rsidRPr="00A43702">
              <w:rPr>
                <w:rFonts w:ascii="Arial" w:hAnsi="Arial" w:cs="Arial"/>
                <w:b/>
                <w:bCs/>
                <w:sz w:val="20"/>
                <w:szCs w:val="20"/>
              </w:rPr>
              <w:t>)</w:t>
            </w:r>
          </w:p>
        </w:tc>
        <w:tc>
          <w:tcPr>
            <w:tcW w:w="888" w:type="dxa"/>
            <w:vAlign w:val="bottom"/>
          </w:tcPr>
          <w:p w14:paraId="0CA54A9C"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3C2BF6AC" w14:textId="77777777" w:rsidR="008C676E" w:rsidRPr="00A43702" w:rsidRDefault="008C676E" w:rsidP="00AB1DC6">
            <w:pPr>
              <w:jc w:val="right"/>
              <w:rPr>
                <w:rFonts w:ascii="Arial" w:eastAsia="Times New Roman" w:hAnsi="Arial" w:cs="Arial"/>
                <w:color w:val="000000"/>
                <w:sz w:val="20"/>
                <w:szCs w:val="20"/>
              </w:rPr>
            </w:pPr>
          </w:p>
        </w:tc>
        <w:tc>
          <w:tcPr>
            <w:tcW w:w="888" w:type="dxa"/>
            <w:vAlign w:val="bottom"/>
          </w:tcPr>
          <w:p w14:paraId="7DA30091"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7159C3F1"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(12.2)</w:t>
            </w:r>
          </w:p>
        </w:tc>
      </w:tr>
      <w:tr w:rsidR="008C676E" w:rsidRPr="006160B8" w14:paraId="0DAAF4BD" w14:textId="77777777" w:rsidTr="00AB1DC6">
        <w:trPr>
          <w:trHeight w:val="283"/>
        </w:trPr>
        <w:tc>
          <w:tcPr>
            <w:tcW w:w="2639" w:type="dxa"/>
            <w:vAlign w:val="center"/>
          </w:tcPr>
          <w:p w14:paraId="06677162"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Share based payments (excluding SAYE schemes) and legacy long-term incentives</w:t>
            </w:r>
          </w:p>
        </w:tc>
        <w:tc>
          <w:tcPr>
            <w:tcW w:w="888" w:type="dxa"/>
            <w:vAlign w:val="bottom"/>
          </w:tcPr>
          <w:p w14:paraId="49757266" w14:textId="77777777" w:rsidR="008C676E" w:rsidRPr="00A43702" w:rsidRDefault="008C676E" w:rsidP="00AB1DC6">
            <w:pPr>
              <w:jc w:val="right"/>
              <w:rPr>
                <w:rFonts w:ascii="Arial" w:hAnsi="Arial" w:cs="Arial"/>
                <w:b/>
                <w:bCs/>
                <w:sz w:val="20"/>
                <w:szCs w:val="20"/>
              </w:rPr>
            </w:pPr>
          </w:p>
        </w:tc>
        <w:tc>
          <w:tcPr>
            <w:tcW w:w="888" w:type="dxa"/>
            <w:vAlign w:val="bottom"/>
          </w:tcPr>
          <w:p w14:paraId="39B29CEE" w14:textId="77777777" w:rsidR="008C676E" w:rsidRPr="00A43702" w:rsidRDefault="008C676E" w:rsidP="00AB1DC6">
            <w:pPr>
              <w:jc w:val="right"/>
              <w:rPr>
                <w:rFonts w:ascii="Arial" w:hAnsi="Arial" w:cs="Arial"/>
                <w:b/>
                <w:bCs/>
                <w:sz w:val="20"/>
                <w:szCs w:val="20"/>
              </w:rPr>
            </w:pPr>
          </w:p>
        </w:tc>
        <w:tc>
          <w:tcPr>
            <w:tcW w:w="889" w:type="dxa"/>
            <w:vAlign w:val="bottom"/>
          </w:tcPr>
          <w:p w14:paraId="143B2331" w14:textId="77777777" w:rsidR="008C676E" w:rsidRPr="00A43702" w:rsidRDefault="008C676E" w:rsidP="00AB1DC6">
            <w:pPr>
              <w:jc w:val="right"/>
              <w:rPr>
                <w:rFonts w:ascii="Arial" w:hAnsi="Arial" w:cs="Arial"/>
                <w:b/>
                <w:bCs/>
                <w:sz w:val="20"/>
                <w:szCs w:val="20"/>
              </w:rPr>
            </w:pPr>
          </w:p>
        </w:tc>
        <w:tc>
          <w:tcPr>
            <w:tcW w:w="888" w:type="dxa"/>
            <w:vAlign w:val="bottom"/>
          </w:tcPr>
          <w:p w14:paraId="3BC1C247"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0.8</w:t>
            </w:r>
          </w:p>
        </w:tc>
        <w:tc>
          <w:tcPr>
            <w:tcW w:w="888" w:type="dxa"/>
            <w:vAlign w:val="bottom"/>
          </w:tcPr>
          <w:p w14:paraId="1346EF78"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235D819F" w14:textId="77777777" w:rsidR="008C676E" w:rsidRPr="00A43702" w:rsidRDefault="008C676E" w:rsidP="00AB1DC6">
            <w:pPr>
              <w:jc w:val="right"/>
              <w:rPr>
                <w:rFonts w:ascii="Arial" w:eastAsia="Times New Roman" w:hAnsi="Arial" w:cs="Arial"/>
                <w:color w:val="000000"/>
                <w:sz w:val="20"/>
                <w:szCs w:val="20"/>
              </w:rPr>
            </w:pPr>
          </w:p>
        </w:tc>
        <w:tc>
          <w:tcPr>
            <w:tcW w:w="888" w:type="dxa"/>
            <w:vAlign w:val="bottom"/>
          </w:tcPr>
          <w:p w14:paraId="55427EFC"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730E7BA9"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w:t>
            </w:r>
            <w:r>
              <w:rPr>
                <w:rFonts w:ascii="Arial" w:hAnsi="Arial" w:cs="Arial"/>
                <w:sz w:val="20"/>
                <w:szCs w:val="20"/>
              </w:rPr>
              <w:t>1.7</w:t>
            </w:r>
            <w:r w:rsidRPr="00A43702">
              <w:rPr>
                <w:rFonts w:ascii="Arial" w:hAnsi="Arial" w:cs="Arial"/>
                <w:sz w:val="20"/>
                <w:szCs w:val="20"/>
              </w:rPr>
              <w:t>)</w:t>
            </w:r>
          </w:p>
        </w:tc>
      </w:tr>
      <w:tr w:rsidR="008C676E" w:rsidRPr="006160B8" w14:paraId="4F9EBD10" w14:textId="77777777" w:rsidTr="00AB1DC6">
        <w:trPr>
          <w:trHeight w:val="283"/>
        </w:trPr>
        <w:tc>
          <w:tcPr>
            <w:tcW w:w="2639" w:type="dxa"/>
            <w:vAlign w:val="center"/>
          </w:tcPr>
          <w:p w14:paraId="727BB154"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Fair value gains/(losses) in contingent consideration and acquisition related incentive schemes</w:t>
            </w:r>
          </w:p>
        </w:tc>
        <w:tc>
          <w:tcPr>
            <w:tcW w:w="888" w:type="dxa"/>
            <w:vAlign w:val="bottom"/>
          </w:tcPr>
          <w:p w14:paraId="0E4EC5FA" w14:textId="77777777" w:rsidR="008C676E" w:rsidRPr="00A43702" w:rsidRDefault="008C676E" w:rsidP="00AB1DC6">
            <w:pPr>
              <w:jc w:val="right"/>
              <w:rPr>
                <w:rFonts w:ascii="Arial" w:hAnsi="Arial" w:cs="Arial"/>
                <w:b/>
                <w:bCs/>
                <w:sz w:val="20"/>
                <w:szCs w:val="20"/>
              </w:rPr>
            </w:pPr>
          </w:p>
        </w:tc>
        <w:tc>
          <w:tcPr>
            <w:tcW w:w="888" w:type="dxa"/>
            <w:vAlign w:val="bottom"/>
          </w:tcPr>
          <w:p w14:paraId="7F0DAF01" w14:textId="77777777" w:rsidR="008C676E" w:rsidRPr="00A43702" w:rsidRDefault="008C676E" w:rsidP="00AB1DC6">
            <w:pPr>
              <w:jc w:val="right"/>
              <w:rPr>
                <w:rFonts w:ascii="Arial" w:hAnsi="Arial" w:cs="Arial"/>
                <w:b/>
                <w:bCs/>
                <w:sz w:val="20"/>
                <w:szCs w:val="20"/>
              </w:rPr>
            </w:pPr>
          </w:p>
        </w:tc>
        <w:tc>
          <w:tcPr>
            <w:tcW w:w="889" w:type="dxa"/>
            <w:vAlign w:val="bottom"/>
          </w:tcPr>
          <w:p w14:paraId="4AFFB97E" w14:textId="77777777" w:rsidR="008C676E" w:rsidRPr="00A43702" w:rsidRDefault="008C676E" w:rsidP="00AB1DC6">
            <w:pPr>
              <w:jc w:val="right"/>
              <w:rPr>
                <w:rFonts w:ascii="Arial" w:hAnsi="Arial" w:cs="Arial"/>
                <w:b/>
                <w:bCs/>
                <w:sz w:val="20"/>
                <w:szCs w:val="20"/>
              </w:rPr>
            </w:pPr>
          </w:p>
        </w:tc>
        <w:tc>
          <w:tcPr>
            <w:tcW w:w="888" w:type="dxa"/>
            <w:vAlign w:val="bottom"/>
          </w:tcPr>
          <w:p w14:paraId="4F7BE1A0"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5.0</w:t>
            </w:r>
            <w:r w:rsidRPr="00A43702">
              <w:rPr>
                <w:rFonts w:ascii="Arial" w:hAnsi="Arial" w:cs="Arial"/>
                <w:b/>
                <w:bCs/>
                <w:sz w:val="20"/>
                <w:szCs w:val="20"/>
              </w:rPr>
              <w:t>)</w:t>
            </w:r>
          </w:p>
        </w:tc>
        <w:tc>
          <w:tcPr>
            <w:tcW w:w="888" w:type="dxa"/>
            <w:vAlign w:val="bottom"/>
          </w:tcPr>
          <w:p w14:paraId="5E8BA292"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2DE8A703" w14:textId="77777777" w:rsidR="008C676E" w:rsidRPr="00A43702" w:rsidRDefault="008C676E" w:rsidP="00AB1DC6">
            <w:pPr>
              <w:jc w:val="right"/>
              <w:rPr>
                <w:rFonts w:ascii="Arial" w:eastAsia="Times New Roman" w:hAnsi="Arial" w:cs="Arial"/>
                <w:color w:val="000000"/>
                <w:sz w:val="20"/>
                <w:szCs w:val="20"/>
              </w:rPr>
            </w:pPr>
          </w:p>
        </w:tc>
        <w:tc>
          <w:tcPr>
            <w:tcW w:w="888" w:type="dxa"/>
            <w:vAlign w:val="bottom"/>
          </w:tcPr>
          <w:p w14:paraId="515BEE1D"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4ECAA813"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w:t>
            </w:r>
            <w:r>
              <w:rPr>
                <w:rFonts w:ascii="Arial" w:hAnsi="Arial" w:cs="Arial"/>
                <w:sz w:val="20"/>
                <w:szCs w:val="20"/>
              </w:rPr>
              <w:t>2.2</w:t>
            </w:r>
            <w:r w:rsidRPr="00A43702">
              <w:rPr>
                <w:rFonts w:ascii="Arial" w:hAnsi="Arial" w:cs="Arial"/>
                <w:sz w:val="20"/>
                <w:szCs w:val="20"/>
              </w:rPr>
              <w:t>)</w:t>
            </w:r>
          </w:p>
        </w:tc>
      </w:tr>
      <w:tr w:rsidR="008C676E" w:rsidRPr="006160B8" w14:paraId="1D1CC41D" w14:textId="77777777" w:rsidTr="00AB1DC6">
        <w:trPr>
          <w:trHeight w:val="283"/>
        </w:trPr>
        <w:tc>
          <w:tcPr>
            <w:tcW w:w="2639" w:type="dxa"/>
            <w:tcBorders>
              <w:top w:val="single" w:sz="4" w:space="0" w:color="auto"/>
            </w:tcBorders>
            <w:vAlign w:val="center"/>
          </w:tcPr>
          <w:p w14:paraId="17C7F8B0"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 xml:space="preserve">Operating </w:t>
            </w:r>
            <w:r>
              <w:rPr>
                <w:rFonts w:ascii="Arial" w:eastAsia="Times New Roman" w:hAnsi="Arial" w:cs="Arial"/>
                <w:color w:val="000000"/>
                <w:sz w:val="20"/>
                <w:szCs w:val="20"/>
              </w:rPr>
              <w:t>(loss)/</w:t>
            </w:r>
            <w:r w:rsidRPr="00A43702">
              <w:rPr>
                <w:rFonts w:ascii="Arial" w:eastAsia="Times New Roman" w:hAnsi="Arial" w:cs="Arial"/>
                <w:color w:val="000000"/>
                <w:sz w:val="20"/>
                <w:szCs w:val="20"/>
              </w:rPr>
              <w:t>profit</w:t>
            </w:r>
          </w:p>
        </w:tc>
        <w:tc>
          <w:tcPr>
            <w:tcW w:w="888" w:type="dxa"/>
            <w:tcBorders>
              <w:top w:val="single" w:sz="4" w:space="0" w:color="auto"/>
            </w:tcBorders>
            <w:vAlign w:val="bottom"/>
          </w:tcPr>
          <w:p w14:paraId="6D9C44A9"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1F030799" w14:textId="77777777" w:rsidR="008C676E" w:rsidRPr="00A43702" w:rsidRDefault="008C676E" w:rsidP="00AB1DC6">
            <w:pPr>
              <w:jc w:val="right"/>
              <w:rPr>
                <w:rFonts w:ascii="Arial" w:hAnsi="Arial" w:cs="Arial"/>
                <w:b/>
                <w:bCs/>
                <w:sz w:val="20"/>
                <w:szCs w:val="20"/>
              </w:rPr>
            </w:pPr>
          </w:p>
        </w:tc>
        <w:tc>
          <w:tcPr>
            <w:tcW w:w="889" w:type="dxa"/>
            <w:tcBorders>
              <w:top w:val="single" w:sz="4" w:space="0" w:color="auto"/>
            </w:tcBorders>
            <w:vAlign w:val="bottom"/>
          </w:tcPr>
          <w:p w14:paraId="52474A54"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13FB58E0"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5.0</w:t>
            </w:r>
            <w:r w:rsidRPr="00A43702">
              <w:rPr>
                <w:rFonts w:ascii="Arial" w:hAnsi="Arial" w:cs="Arial"/>
                <w:b/>
                <w:bCs/>
                <w:sz w:val="20"/>
                <w:szCs w:val="20"/>
              </w:rPr>
              <w:t>)</w:t>
            </w:r>
          </w:p>
        </w:tc>
        <w:tc>
          <w:tcPr>
            <w:tcW w:w="888" w:type="dxa"/>
            <w:tcBorders>
              <w:top w:val="single" w:sz="4" w:space="0" w:color="auto"/>
            </w:tcBorders>
            <w:vAlign w:val="bottom"/>
          </w:tcPr>
          <w:p w14:paraId="2C8D537B"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tcBorders>
            <w:vAlign w:val="bottom"/>
          </w:tcPr>
          <w:p w14:paraId="44C861D0" w14:textId="77777777" w:rsidR="008C676E" w:rsidRPr="00A43702" w:rsidRDefault="008C676E" w:rsidP="00AB1DC6">
            <w:pPr>
              <w:jc w:val="right"/>
              <w:rPr>
                <w:rFonts w:ascii="Arial" w:eastAsia="Times New Roman" w:hAnsi="Arial" w:cs="Arial"/>
                <w:color w:val="000000"/>
                <w:sz w:val="20"/>
                <w:szCs w:val="20"/>
              </w:rPr>
            </w:pPr>
          </w:p>
        </w:tc>
        <w:tc>
          <w:tcPr>
            <w:tcW w:w="888" w:type="dxa"/>
            <w:tcBorders>
              <w:top w:val="single" w:sz="4" w:space="0" w:color="auto"/>
            </w:tcBorders>
            <w:vAlign w:val="bottom"/>
          </w:tcPr>
          <w:p w14:paraId="565D3104"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tcBorders>
            <w:vAlign w:val="bottom"/>
          </w:tcPr>
          <w:p w14:paraId="502E5918"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3.</w:t>
            </w:r>
            <w:r>
              <w:rPr>
                <w:rFonts w:ascii="Arial" w:hAnsi="Arial" w:cs="Arial"/>
                <w:sz w:val="20"/>
                <w:szCs w:val="20"/>
              </w:rPr>
              <w:t>3</w:t>
            </w:r>
            <w:r w:rsidRPr="00A43702">
              <w:rPr>
                <w:rFonts w:ascii="Arial" w:hAnsi="Arial" w:cs="Arial"/>
                <w:sz w:val="20"/>
                <w:szCs w:val="20"/>
              </w:rPr>
              <w:t xml:space="preserve"> </w:t>
            </w:r>
          </w:p>
        </w:tc>
      </w:tr>
      <w:tr w:rsidR="008C676E" w:rsidRPr="006160B8" w14:paraId="13AE7FD6" w14:textId="77777777" w:rsidTr="00AB1DC6">
        <w:trPr>
          <w:trHeight w:val="283"/>
        </w:trPr>
        <w:tc>
          <w:tcPr>
            <w:tcW w:w="2639" w:type="dxa"/>
            <w:tcBorders>
              <w:top w:val="single" w:sz="4" w:space="0" w:color="auto"/>
            </w:tcBorders>
            <w:vAlign w:val="center"/>
          </w:tcPr>
          <w:p w14:paraId="739C5091"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Finance costs</w:t>
            </w:r>
          </w:p>
        </w:tc>
        <w:tc>
          <w:tcPr>
            <w:tcW w:w="888" w:type="dxa"/>
            <w:tcBorders>
              <w:top w:val="single" w:sz="4" w:space="0" w:color="auto"/>
            </w:tcBorders>
            <w:vAlign w:val="bottom"/>
          </w:tcPr>
          <w:p w14:paraId="4ECBC82E"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7ACB7023" w14:textId="77777777" w:rsidR="008C676E" w:rsidRPr="00A43702" w:rsidRDefault="008C676E" w:rsidP="00AB1DC6">
            <w:pPr>
              <w:jc w:val="right"/>
              <w:rPr>
                <w:rFonts w:ascii="Arial" w:hAnsi="Arial" w:cs="Arial"/>
                <w:b/>
                <w:bCs/>
                <w:sz w:val="20"/>
                <w:szCs w:val="20"/>
              </w:rPr>
            </w:pPr>
          </w:p>
        </w:tc>
        <w:tc>
          <w:tcPr>
            <w:tcW w:w="889" w:type="dxa"/>
            <w:tcBorders>
              <w:top w:val="single" w:sz="4" w:space="0" w:color="auto"/>
            </w:tcBorders>
            <w:vAlign w:val="bottom"/>
          </w:tcPr>
          <w:p w14:paraId="6999F057"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51A61CBC"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(11.8)</w:t>
            </w:r>
          </w:p>
        </w:tc>
        <w:tc>
          <w:tcPr>
            <w:tcW w:w="888" w:type="dxa"/>
            <w:tcBorders>
              <w:top w:val="single" w:sz="4" w:space="0" w:color="auto"/>
            </w:tcBorders>
            <w:vAlign w:val="bottom"/>
          </w:tcPr>
          <w:p w14:paraId="6CA93E0C"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tcBorders>
            <w:vAlign w:val="bottom"/>
          </w:tcPr>
          <w:p w14:paraId="33BE45D3" w14:textId="77777777" w:rsidR="008C676E" w:rsidRPr="00A43702" w:rsidRDefault="008C676E" w:rsidP="00AB1DC6">
            <w:pPr>
              <w:jc w:val="right"/>
              <w:rPr>
                <w:rFonts w:ascii="Arial" w:eastAsia="Times New Roman" w:hAnsi="Arial" w:cs="Arial"/>
                <w:color w:val="000000"/>
                <w:sz w:val="20"/>
                <w:szCs w:val="20"/>
              </w:rPr>
            </w:pPr>
          </w:p>
        </w:tc>
        <w:tc>
          <w:tcPr>
            <w:tcW w:w="888" w:type="dxa"/>
            <w:tcBorders>
              <w:top w:val="single" w:sz="4" w:space="0" w:color="auto"/>
            </w:tcBorders>
            <w:vAlign w:val="bottom"/>
          </w:tcPr>
          <w:p w14:paraId="2589860C"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tcBorders>
            <w:vAlign w:val="bottom"/>
          </w:tcPr>
          <w:p w14:paraId="27E83E65"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(6.9)</w:t>
            </w:r>
          </w:p>
        </w:tc>
      </w:tr>
      <w:tr w:rsidR="008C676E" w:rsidRPr="006160B8" w14:paraId="4AA5688C" w14:textId="77777777" w:rsidTr="00AB1DC6">
        <w:trPr>
          <w:trHeight w:val="283"/>
        </w:trPr>
        <w:tc>
          <w:tcPr>
            <w:tcW w:w="2639" w:type="dxa"/>
            <w:vAlign w:val="center"/>
          </w:tcPr>
          <w:p w14:paraId="286AF1BC"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Exceptional finance costs</w:t>
            </w:r>
          </w:p>
        </w:tc>
        <w:tc>
          <w:tcPr>
            <w:tcW w:w="888" w:type="dxa"/>
            <w:vAlign w:val="bottom"/>
          </w:tcPr>
          <w:p w14:paraId="29C88D98" w14:textId="77777777" w:rsidR="008C676E" w:rsidRPr="00A43702" w:rsidRDefault="008C676E" w:rsidP="00AB1DC6">
            <w:pPr>
              <w:jc w:val="right"/>
              <w:rPr>
                <w:rFonts w:ascii="Arial" w:hAnsi="Arial" w:cs="Arial"/>
                <w:b/>
                <w:bCs/>
                <w:sz w:val="20"/>
                <w:szCs w:val="20"/>
              </w:rPr>
            </w:pPr>
          </w:p>
        </w:tc>
        <w:tc>
          <w:tcPr>
            <w:tcW w:w="888" w:type="dxa"/>
            <w:vAlign w:val="bottom"/>
          </w:tcPr>
          <w:p w14:paraId="0DECC0F6" w14:textId="77777777" w:rsidR="008C676E" w:rsidRPr="00A43702" w:rsidRDefault="008C676E" w:rsidP="00AB1DC6">
            <w:pPr>
              <w:jc w:val="right"/>
              <w:rPr>
                <w:rFonts w:ascii="Arial" w:hAnsi="Arial" w:cs="Arial"/>
                <w:b/>
                <w:bCs/>
                <w:sz w:val="20"/>
                <w:szCs w:val="20"/>
              </w:rPr>
            </w:pPr>
          </w:p>
        </w:tc>
        <w:tc>
          <w:tcPr>
            <w:tcW w:w="889" w:type="dxa"/>
            <w:vAlign w:val="bottom"/>
          </w:tcPr>
          <w:p w14:paraId="4EB34E72" w14:textId="77777777" w:rsidR="008C676E" w:rsidRPr="00A43702" w:rsidRDefault="008C676E" w:rsidP="00AB1DC6">
            <w:pPr>
              <w:jc w:val="right"/>
              <w:rPr>
                <w:rFonts w:ascii="Arial" w:hAnsi="Arial" w:cs="Arial"/>
                <w:b/>
                <w:bCs/>
                <w:sz w:val="20"/>
                <w:szCs w:val="20"/>
              </w:rPr>
            </w:pPr>
          </w:p>
        </w:tc>
        <w:tc>
          <w:tcPr>
            <w:tcW w:w="888" w:type="dxa"/>
            <w:vAlign w:val="bottom"/>
          </w:tcPr>
          <w:p w14:paraId="4FD54447"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(0.1)</w:t>
            </w:r>
          </w:p>
        </w:tc>
        <w:tc>
          <w:tcPr>
            <w:tcW w:w="888" w:type="dxa"/>
            <w:vAlign w:val="bottom"/>
          </w:tcPr>
          <w:p w14:paraId="43A941F7"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4F548954" w14:textId="77777777" w:rsidR="008C676E" w:rsidRPr="00A43702" w:rsidRDefault="008C676E" w:rsidP="00AB1DC6">
            <w:pPr>
              <w:jc w:val="right"/>
              <w:rPr>
                <w:rFonts w:ascii="Arial" w:eastAsia="Times New Roman" w:hAnsi="Arial" w:cs="Arial"/>
                <w:color w:val="000000"/>
                <w:sz w:val="20"/>
                <w:szCs w:val="20"/>
              </w:rPr>
            </w:pPr>
          </w:p>
        </w:tc>
        <w:tc>
          <w:tcPr>
            <w:tcW w:w="888" w:type="dxa"/>
            <w:vAlign w:val="bottom"/>
          </w:tcPr>
          <w:p w14:paraId="79254B3B" w14:textId="77777777" w:rsidR="008C676E" w:rsidRPr="00A43702" w:rsidRDefault="008C676E" w:rsidP="00AB1DC6">
            <w:pPr>
              <w:jc w:val="right"/>
              <w:rPr>
                <w:rFonts w:ascii="Arial" w:eastAsia="Times New Roman" w:hAnsi="Arial" w:cs="Arial"/>
                <w:color w:val="000000"/>
                <w:sz w:val="20"/>
                <w:szCs w:val="20"/>
              </w:rPr>
            </w:pPr>
          </w:p>
        </w:tc>
        <w:tc>
          <w:tcPr>
            <w:tcW w:w="889" w:type="dxa"/>
            <w:vAlign w:val="bottom"/>
          </w:tcPr>
          <w:p w14:paraId="26C40FF8"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(0.9)</w:t>
            </w:r>
          </w:p>
        </w:tc>
      </w:tr>
      <w:tr w:rsidR="008C676E" w:rsidRPr="006160B8" w14:paraId="1ACE0E8F" w14:textId="77777777" w:rsidTr="00AB1DC6">
        <w:trPr>
          <w:trHeight w:val="283"/>
        </w:trPr>
        <w:tc>
          <w:tcPr>
            <w:tcW w:w="2639" w:type="dxa"/>
            <w:tcBorders>
              <w:top w:val="single" w:sz="4" w:space="0" w:color="auto"/>
            </w:tcBorders>
            <w:vAlign w:val="center"/>
          </w:tcPr>
          <w:p w14:paraId="46A89954"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Loss before tax</w:t>
            </w:r>
          </w:p>
        </w:tc>
        <w:tc>
          <w:tcPr>
            <w:tcW w:w="888" w:type="dxa"/>
            <w:tcBorders>
              <w:top w:val="single" w:sz="4" w:space="0" w:color="auto"/>
            </w:tcBorders>
            <w:vAlign w:val="bottom"/>
          </w:tcPr>
          <w:p w14:paraId="4D0EF685"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52141F56" w14:textId="77777777" w:rsidR="008C676E" w:rsidRPr="00A43702" w:rsidRDefault="008C676E" w:rsidP="00AB1DC6">
            <w:pPr>
              <w:jc w:val="right"/>
              <w:rPr>
                <w:rFonts w:ascii="Arial" w:hAnsi="Arial" w:cs="Arial"/>
                <w:b/>
                <w:bCs/>
                <w:sz w:val="20"/>
                <w:szCs w:val="20"/>
              </w:rPr>
            </w:pPr>
          </w:p>
        </w:tc>
        <w:tc>
          <w:tcPr>
            <w:tcW w:w="889" w:type="dxa"/>
            <w:tcBorders>
              <w:top w:val="single" w:sz="4" w:space="0" w:color="auto"/>
            </w:tcBorders>
            <w:vAlign w:val="bottom"/>
          </w:tcPr>
          <w:p w14:paraId="690309F8"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34A2663B"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16.9</w:t>
            </w:r>
            <w:r w:rsidRPr="00A43702">
              <w:rPr>
                <w:rFonts w:ascii="Arial" w:hAnsi="Arial" w:cs="Arial"/>
                <w:b/>
                <w:bCs/>
                <w:sz w:val="20"/>
                <w:szCs w:val="20"/>
              </w:rPr>
              <w:t>)</w:t>
            </w:r>
          </w:p>
        </w:tc>
        <w:tc>
          <w:tcPr>
            <w:tcW w:w="888" w:type="dxa"/>
            <w:tcBorders>
              <w:top w:val="single" w:sz="4" w:space="0" w:color="auto"/>
            </w:tcBorders>
            <w:vAlign w:val="bottom"/>
          </w:tcPr>
          <w:p w14:paraId="5538B7EE"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tcBorders>
            <w:vAlign w:val="bottom"/>
          </w:tcPr>
          <w:p w14:paraId="7BF4FEC6" w14:textId="77777777" w:rsidR="008C676E" w:rsidRPr="00A43702" w:rsidRDefault="008C676E" w:rsidP="00AB1DC6">
            <w:pPr>
              <w:jc w:val="right"/>
              <w:rPr>
                <w:rFonts w:ascii="Arial" w:eastAsia="Times New Roman" w:hAnsi="Arial" w:cs="Arial"/>
                <w:color w:val="000000"/>
                <w:sz w:val="20"/>
                <w:szCs w:val="20"/>
              </w:rPr>
            </w:pPr>
          </w:p>
        </w:tc>
        <w:tc>
          <w:tcPr>
            <w:tcW w:w="888" w:type="dxa"/>
            <w:tcBorders>
              <w:top w:val="single" w:sz="4" w:space="0" w:color="auto"/>
            </w:tcBorders>
            <w:vAlign w:val="bottom"/>
          </w:tcPr>
          <w:p w14:paraId="00DEDF8E"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tcBorders>
            <w:vAlign w:val="bottom"/>
          </w:tcPr>
          <w:p w14:paraId="0132F42D"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(4.</w:t>
            </w:r>
            <w:r>
              <w:rPr>
                <w:rFonts w:ascii="Arial" w:hAnsi="Arial" w:cs="Arial"/>
                <w:sz w:val="20"/>
                <w:szCs w:val="20"/>
              </w:rPr>
              <w:t>5</w:t>
            </w:r>
            <w:r w:rsidRPr="00A43702">
              <w:rPr>
                <w:rFonts w:ascii="Arial" w:hAnsi="Arial" w:cs="Arial"/>
                <w:sz w:val="20"/>
                <w:szCs w:val="20"/>
              </w:rPr>
              <w:t>)</w:t>
            </w:r>
          </w:p>
        </w:tc>
      </w:tr>
      <w:tr w:rsidR="008C676E" w:rsidRPr="006160B8" w14:paraId="233597F4" w14:textId="77777777" w:rsidTr="00F72BA1">
        <w:trPr>
          <w:trHeight w:val="283"/>
        </w:trPr>
        <w:tc>
          <w:tcPr>
            <w:tcW w:w="2639" w:type="dxa"/>
            <w:tcBorders>
              <w:bottom w:val="single" w:sz="4" w:space="0" w:color="auto"/>
            </w:tcBorders>
            <w:vAlign w:val="center"/>
          </w:tcPr>
          <w:p w14:paraId="6E11495E" w14:textId="7945A33D"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Tax c</w:t>
            </w:r>
            <w:r w:rsidR="00742B10">
              <w:rPr>
                <w:rFonts w:ascii="Arial" w:eastAsia="Times New Roman" w:hAnsi="Arial" w:cs="Arial"/>
                <w:color w:val="000000"/>
                <w:sz w:val="20"/>
                <w:szCs w:val="20"/>
              </w:rPr>
              <w:t>redit</w:t>
            </w:r>
          </w:p>
        </w:tc>
        <w:tc>
          <w:tcPr>
            <w:tcW w:w="888" w:type="dxa"/>
            <w:tcBorders>
              <w:bottom w:val="single" w:sz="4" w:space="0" w:color="auto"/>
            </w:tcBorders>
            <w:vAlign w:val="bottom"/>
          </w:tcPr>
          <w:p w14:paraId="28387C4B" w14:textId="77777777" w:rsidR="008C676E" w:rsidRPr="00A43702" w:rsidRDefault="008C676E" w:rsidP="00AB1DC6">
            <w:pPr>
              <w:jc w:val="right"/>
              <w:rPr>
                <w:rFonts w:ascii="Arial" w:hAnsi="Arial" w:cs="Arial"/>
                <w:b/>
                <w:bCs/>
                <w:sz w:val="20"/>
                <w:szCs w:val="20"/>
              </w:rPr>
            </w:pPr>
          </w:p>
        </w:tc>
        <w:tc>
          <w:tcPr>
            <w:tcW w:w="888" w:type="dxa"/>
            <w:tcBorders>
              <w:bottom w:val="single" w:sz="4" w:space="0" w:color="auto"/>
            </w:tcBorders>
            <w:vAlign w:val="bottom"/>
          </w:tcPr>
          <w:p w14:paraId="1A052316" w14:textId="77777777" w:rsidR="008C676E" w:rsidRPr="00A43702" w:rsidRDefault="008C676E" w:rsidP="00AB1DC6">
            <w:pPr>
              <w:jc w:val="right"/>
              <w:rPr>
                <w:rFonts w:ascii="Arial" w:hAnsi="Arial" w:cs="Arial"/>
                <w:b/>
                <w:bCs/>
                <w:sz w:val="20"/>
                <w:szCs w:val="20"/>
              </w:rPr>
            </w:pPr>
          </w:p>
        </w:tc>
        <w:tc>
          <w:tcPr>
            <w:tcW w:w="889" w:type="dxa"/>
            <w:tcBorders>
              <w:bottom w:val="single" w:sz="4" w:space="0" w:color="auto"/>
            </w:tcBorders>
            <w:vAlign w:val="bottom"/>
          </w:tcPr>
          <w:p w14:paraId="521FD4AA" w14:textId="77777777" w:rsidR="008C676E" w:rsidRPr="00A43702" w:rsidRDefault="008C676E" w:rsidP="00AB1DC6">
            <w:pPr>
              <w:jc w:val="right"/>
              <w:rPr>
                <w:rFonts w:ascii="Arial" w:hAnsi="Arial" w:cs="Arial"/>
                <w:b/>
                <w:bCs/>
                <w:sz w:val="20"/>
                <w:szCs w:val="20"/>
              </w:rPr>
            </w:pPr>
          </w:p>
        </w:tc>
        <w:tc>
          <w:tcPr>
            <w:tcW w:w="888" w:type="dxa"/>
            <w:tcBorders>
              <w:bottom w:val="single" w:sz="4" w:space="0" w:color="auto"/>
            </w:tcBorders>
            <w:vAlign w:val="bottom"/>
          </w:tcPr>
          <w:p w14:paraId="2A2E5726" w14:textId="76FDED7F" w:rsidR="008C676E" w:rsidRPr="00A43702" w:rsidRDefault="008C676E" w:rsidP="00AB1DC6">
            <w:pPr>
              <w:jc w:val="right"/>
              <w:rPr>
                <w:rFonts w:ascii="Arial" w:hAnsi="Arial" w:cs="Arial"/>
                <w:b/>
                <w:bCs/>
                <w:sz w:val="20"/>
                <w:szCs w:val="20"/>
              </w:rPr>
            </w:pPr>
            <w:r>
              <w:rPr>
                <w:rFonts w:ascii="Arial" w:hAnsi="Arial" w:cs="Arial"/>
                <w:b/>
                <w:bCs/>
                <w:sz w:val="20"/>
                <w:szCs w:val="20"/>
              </w:rPr>
              <w:t>3.2</w:t>
            </w:r>
          </w:p>
        </w:tc>
        <w:tc>
          <w:tcPr>
            <w:tcW w:w="888" w:type="dxa"/>
            <w:tcBorders>
              <w:bottom w:val="single" w:sz="4" w:space="0" w:color="auto"/>
            </w:tcBorders>
            <w:vAlign w:val="bottom"/>
          </w:tcPr>
          <w:p w14:paraId="4ED21B07" w14:textId="77777777" w:rsidR="008C676E" w:rsidRPr="00A43702" w:rsidRDefault="008C676E" w:rsidP="00AB1DC6">
            <w:pPr>
              <w:jc w:val="right"/>
              <w:rPr>
                <w:rFonts w:ascii="Arial" w:eastAsia="Times New Roman" w:hAnsi="Arial" w:cs="Arial"/>
                <w:color w:val="000000"/>
                <w:sz w:val="20"/>
                <w:szCs w:val="20"/>
              </w:rPr>
            </w:pPr>
          </w:p>
        </w:tc>
        <w:tc>
          <w:tcPr>
            <w:tcW w:w="889" w:type="dxa"/>
            <w:tcBorders>
              <w:bottom w:val="single" w:sz="4" w:space="0" w:color="auto"/>
            </w:tcBorders>
            <w:vAlign w:val="bottom"/>
          </w:tcPr>
          <w:p w14:paraId="6D63CDA8" w14:textId="77777777" w:rsidR="008C676E" w:rsidRPr="00A43702" w:rsidRDefault="008C676E" w:rsidP="00AB1DC6">
            <w:pPr>
              <w:jc w:val="right"/>
              <w:rPr>
                <w:rFonts w:ascii="Arial" w:eastAsia="Times New Roman" w:hAnsi="Arial" w:cs="Arial"/>
                <w:color w:val="000000"/>
                <w:sz w:val="20"/>
                <w:szCs w:val="20"/>
              </w:rPr>
            </w:pPr>
          </w:p>
        </w:tc>
        <w:tc>
          <w:tcPr>
            <w:tcW w:w="888" w:type="dxa"/>
            <w:tcBorders>
              <w:bottom w:val="single" w:sz="4" w:space="0" w:color="auto"/>
            </w:tcBorders>
            <w:vAlign w:val="bottom"/>
          </w:tcPr>
          <w:p w14:paraId="28D59860" w14:textId="77777777" w:rsidR="008C676E" w:rsidRPr="00A43702" w:rsidRDefault="008C676E" w:rsidP="00AB1DC6">
            <w:pPr>
              <w:jc w:val="right"/>
              <w:rPr>
                <w:rFonts w:ascii="Arial" w:eastAsia="Times New Roman" w:hAnsi="Arial" w:cs="Arial"/>
                <w:color w:val="000000"/>
                <w:sz w:val="20"/>
                <w:szCs w:val="20"/>
              </w:rPr>
            </w:pPr>
          </w:p>
        </w:tc>
        <w:tc>
          <w:tcPr>
            <w:tcW w:w="889" w:type="dxa"/>
            <w:tcBorders>
              <w:bottom w:val="single" w:sz="4" w:space="0" w:color="auto"/>
            </w:tcBorders>
            <w:vAlign w:val="bottom"/>
          </w:tcPr>
          <w:p w14:paraId="2543558C" w14:textId="068D2A56" w:rsidR="008C676E" w:rsidRPr="00A43702" w:rsidRDefault="008C676E" w:rsidP="00AB1DC6">
            <w:pPr>
              <w:jc w:val="right"/>
              <w:rPr>
                <w:rFonts w:ascii="Arial" w:hAnsi="Arial" w:cs="Arial"/>
                <w:sz w:val="20"/>
                <w:szCs w:val="20"/>
              </w:rPr>
            </w:pPr>
            <w:r w:rsidRPr="00A43702">
              <w:rPr>
                <w:rFonts w:ascii="Arial" w:hAnsi="Arial" w:cs="Arial"/>
                <w:sz w:val="20"/>
                <w:szCs w:val="20"/>
              </w:rPr>
              <w:t>2.</w:t>
            </w:r>
            <w:r w:rsidR="008D05A6">
              <w:rPr>
                <w:rFonts w:ascii="Arial" w:hAnsi="Arial" w:cs="Arial"/>
                <w:sz w:val="20"/>
                <w:szCs w:val="20"/>
              </w:rPr>
              <w:t>8</w:t>
            </w:r>
            <w:r w:rsidRPr="00A43702">
              <w:rPr>
                <w:rFonts w:ascii="Arial" w:hAnsi="Arial" w:cs="Arial"/>
                <w:sz w:val="20"/>
                <w:szCs w:val="20"/>
              </w:rPr>
              <w:t xml:space="preserve"> </w:t>
            </w:r>
          </w:p>
        </w:tc>
      </w:tr>
      <w:tr w:rsidR="008C676E" w:rsidRPr="006160B8" w14:paraId="55D072A2" w14:textId="77777777" w:rsidTr="00F72BA1">
        <w:trPr>
          <w:trHeight w:val="283"/>
        </w:trPr>
        <w:tc>
          <w:tcPr>
            <w:tcW w:w="2639" w:type="dxa"/>
            <w:tcBorders>
              <w:top w:val="single" w:sz="4" w:space="0" w:color="auto"/>
              <w:bottom w:val="single" w:sz="4" w:space="0" w:color="auto"/>
            </w:tcBorders>
            <w:vAlign w:val="center"/>
          </w:tcPr>
          <w:p w14:paraId="5A13390A"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Loss after tax</w:t>
            </w:r>
          </w:p>
        </w:tc>
        <w:tc>
          <w:tcPr>
            <w:tcW w:w="888" w:type="dxa"/>
            <w:tcBorders>
              <w:top w:val="single" w:sz="4" w:space="0" w:color="auto"/>
              <w:bottom w:val="single" w:sz="4" w:space="0" w:color="auto"/>
            </w:tcBorders>
            <w:vAlign w:val="bottom"/>
          </w:tcPr>
          <w:p w14:paraId="2E8026D3"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bottom w:val="single" w:sz="4" w:space="0" w:color="auto"/>
            </w:tcBorders>
            <w:vAlign w:val="bottom"/>
          </w:tcPr>
          <w:p w14:paraId="055E3F9A" w14:textId="77777777" w:rsidR="008C676E" w:rsidRPr="00A43702" w:rsidRDefault="008C676E" w:rsidP="00AB1DC6">
            <w:pPr>
              <w:jc w:val="right"/>
              <w:rPr>
                <w:rFonts w:ascii="Arial" w:hAnsi="Arial" w:cs="Arial"/>
                <w:b/>
                <w:bCs/>
                <w:sz w:val="20"/>
                <w:szCs w:val="20"/>
              </w:rPr>
            </w:pPr>
          </w:p>
        </w:tc>
        <w:tc>
          <w:tcPr>
            <w:tcW w:w="889" w:type="dxa"/>
            <w:tcBorders>
              <w:top w:val="single" w:sz="4" w:space="0" w:color="auto"/>
              <w:bottom w:val="single" w:sz="4" w:space="0" w:color="auto"/>
            </w:tcBorders>
            <w:vAlign w:val="bottom"/>
          </w:tcPr>
          <w:p w14:paraId="0BBAAD59"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bottom w:val="single" w:sz="4" w:space="0" w:color="auto"/>
            </w:tcBorders>
            <w:vAlign w:val="bottom"/>
          </w:tcPr>
          <w:p w14:paraId="1398DDDE"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13.7</w:t>
            </w:r>
            <w:r w:rsidRPr="00A43702">
              <w:rPr>
                <w:rFonts w:ascii="Arial" w:hAnsi="Arial" w:cs="Arial"/>
                <w:b/>
                <w:bCs/>
                <w:sz w:val="20"/>
                <w:szCs w:val="20"/>
              </w:rPr>
              <w:t>)</w:t>
            </w:r>
          </w:p>
        </w:tc>
        <w:tc>
          <w:tcPr>
            <w:tcW w:w="888" w:type="dxa"/>
            <w:tcBorders>
              <w:top w:val="single" w:sz="4" w:space="0" w:color="auto"/>
              <w:bottom w:val="single" w:sz="4" w:space="0" w:color="auto"/>
            </w:tcBorders>
            <w:vAlign w:val="bottom"/>
          </w:tcPr>
          <w:p w14:paraId="6A843967"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bottom w:val="single" w:sz="4" w:space="0" w:color="auto"/>
            </w:tcBorders>
            <w:vAlign w:val="bottom"/>
          </w:tcPr>
          <w:p w14:paraId="6D9B279D" w14:textId="77777777" w:rsidR="008C676E" w:rsidRPr="00A43702" w:rsidRDefault="008C676E" w:rsidP="00AB1DC6">
            <w:pPr>
              <w:jc w:val="right"/>
              <w:rPr>
                <w:rFonts w:ascii="Arial" w:eastAsia="Times New Roman" w:hAnsi="Arial" w:cs="Arial"/>
                <w:color w:val="000000"/>
                <w:sz w:val="20"/>
                <w:szCs w:val="20"/>
              </w:rPr>
            </w:pPr>
          </w:p>
        </w:tc>
        <w:tc>
          <w:tcPr>
            <w:tcW w:w="888" w:type="dxa"/>
            <w:tcBorders>
              <w:top w:val="single" w:sz="4" w:space="0" w:color="auto"/>
              <w:bottom w:val="single" w:sz="4" w:space="0" w:color="auto"/>
            </w:tcBorders>
            <w:vAlign w:val="bottom"/>
          </w:tcPr>
          <w:p w14:paraId="744BB442" w14:textId="77777777" w:rsidR="008C676E" w:rsidRPr="00A43702" w:rsidRDefault="008C676E" w:rsidP="00AB1DC6">
            <w:pPr>
              <w:jc w:val="right"/>
              <w:rPr>
                <w:rFonts w:ascii="Arial" w:eastAsia="Times New Roman" w:hAnsi="Arial" w:cs="Arial"/>
                <w:color w:val="000000"/>
                <w:sz w:val="20"/>
                <w:szCs w:val="20"/>
              </w:rPr>
            </w:pPr>
          </w:p>
        </w:tc>
        <w:tc>
          <w:tcPr>
            <w:tcW w:w="889" w:type="dxa"/>
            <w:tcBorders>
              <w:top w:val="single" w:sz="4" w:space="0" w:color="auto"/>
              <w:bottom w:val="single" w:sz="4" w:space="0" w:color="auto"/>
            </w:tcBorders>
            <w:vAlign w:val="bottom"/>
          </w:tcPr>
          <w:p w14:paraId="174F3C7E" w14:textId="709DC8D5" w:rsidR="008C676E" w:rsidRPr="00A43702" w:rsidRDefault="008C676E" w:rsidP="00AB1DC6">
            <w:pPr>
              <w:jc w:val="right"/>
              <w:rPr>
                <w:rFonts w:ascii="Arial" w:hAnsi="Arial" w:cs="Arial"/>
                <w:sz w:val="20"/>
                <w:szCs w:val="20"/>
              </w:rPr>
            </w:pPr>
            <w:r w:rsidRPr="00A43702">
              <w:rPr>
                <w:rFonts w:ascii="Arial" w:hAnsi="Arial" w:cs="Arial"/>
                <w:sz w:val="20"/>
                <w:szCs w:val="20"/>
              </w:rPr>
              <w:t>(1.</w:t>
            </w:r>
            <w:r w:rsidR="008D05A6">
              <w:rPr>
                <w:rFonts w:ascii="Arial" w:hAnsi="Arial" w:cs="Arial"/>
                <w:sz w:val="20"/>
                <w:szCs w:val="20"/>
              </w:rPr>
              <w:t>7</w:t>
            </w:r>
            <w:r w:rsidRPr="00A43702">
              <w:rPr>
                <w:rFonts w:ascii="Arial" w:hAnsi="Arial" w:cs="Arial"/>
                <w:sz w:val="20"/>
                <w:szCs w:val="20"/>
              </w:rPr>
              <w:t>)</w:t>
            </w:r>
          </w:p>
        </w:tc>
      </w:tr>
      <w:tr w:rsidR="008C676E" w:rsidRPr="006160B8" w14:paraId="16A04450" w14:textId="77777777" w:rsidTr="00F72BA1">
        <w:trPr>
          <w:trHeight w:val="283"/>
        </w:trPr>
        <w:tc>
          <w:tcPr>
            <w:tcW w:w="2639" w:type="dxa"/>
            <w:tcBorders>
              <w:top w:val="single" w:sz="4" w:space="0" w:color="auto"/>
            </w:tcBorders>
            <w:vAlign w:val="center"/>
          </w:tcPr>
          <w:p w14:paraId="38CA87EB" w14:textId="77777777" w:rsidR="008C676E" w:rsidRPr="00A43702" w:rsidRDefault="008C676E" w:rsidP="00AB1DC6">
            <w:pPr>
              <w:rPr>
                <w:rFonts w:ascii="Arial" w:eastAsia="Times New Roman" w:hAnsi="Arial" w:cs="Arial"/>
                <w:color w:val="000000"/>
                <w:sz w:val="20"/>
                <w:szCs w:val="20"/>
              </w:rPr>
            </w:pPr>
          </w:p>
        </w:tc>
        <w:tc>
          <w:tcPr>
            <w:tcW w:w="888" w:type="dxa"/>
            <w:tcBorders>
              <w:top w:val="single" w:sz="4" w:space="0" w:color="auto"/>
            </w:tcBorders>
            <w:vAlign w:val="bottom"/>
          </w:tcPr>
          <w:p w14:paraId="4CCD1EC2"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7421D0E4" w14:textId="77777777" w:rsidR="008C676E" w:rsidRPr="00A43702" w:rsidRDefault="008C676E" w:rsidP="00AB1DC6">
            <w:pPr>
              <w:jc w:val="right"/>
              <w:rPr>
                <w:rFonts w:ascii="Arial" w:hAnsi="Arial" w:cs="Arial"/>
                <w:b/>
                <w:bCs/>
                <w:sz w:val="20"/>
                <w:szCs w:val="20"/>
              </w:rPr>
            </w:pPr>
          </w:p>
        </w:tc>
        <w:tc>
          <w:tcPr>
            <w:tcW w:w="889" w:type="dxa"/>
            <w:tcBorders>
              <w:top w:val="single" w:sz="4" w:space="0" w:color="auto"/>
            </w:tcBorders>
            <w:vAlign w:val="bottom"/>
          </w:tcPr>
          <w:p w14:paraId="5057A18E"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4CDD9FA0" w14:textId="77777777" w:rsidR="008C676E" w:rsidRPr="00A43702" w:rsidRDefault="008C676E" w:rsidP="00AB1DC6">
            <w:pPr>
              <w:jc w:val="right"/>
              <w:rPr>
                <w:rFonts w:ascii="Arial" w:hAnsi="Arial" w:cs="Arial"/>
                <w:b/>
                <w:bCs/>
                <w:sz w:val="20"/>
                <w:szCs w:val="20"/>
              </w:rPr>
            </w:pPr>
          </w:p>
        </w:tc>
        <w:tc>
          <w:tcPr>
            <w:tcW w:w="888" w:type="dxa"/>
            <w:tcBorders>
              <w:top w:val="single" w:sz="4" w:space="0" w:color="auto"/>
            </w:tcBorders>
            <w:vAlign w:val="bottom"/>
          </w:tcPr>
          <w:p w14:paraId="6D418B33" w14:textId="77777777" w:rsidR="008C676E" w:rsidRPr="00A43702" w:rsidRDefault="008C676E" w:rsidP="00AB1DC6">
            <w:pPr>
              <w:jc w:val="right"/>
              <w:rPr>
                <w:rFonts w:ascii="Arial" w:hAnsi="Arial" w:cs="Arial"/>
                <w:sz w:val="20"/>
                <w:szCs w:val="20"/>
              </w:rPr>
            </w:pPr>
          </w:p>
        </w:tc>
        <w:tc>
          <w:tcPr>
            <w:tcW w:w="889" w:type="dxa"/>
            <w:tcBorders>
              <w:top w:val="single" w:sz="4" w:space="0" w:color="auto"/>
            </w:tcBorders>
            <w:vAlign w:val="bottom"/>
          </w:tcPr>
          <w:p w14:paraId="068607B6" w14:textId="77777777" w:rsidR="008C676E" w:rsidRPr="00A43702" w:rsidRDefault="008C676E" w:rsidP="00AB1DC6">
            <w:pPr>
              <w:jc w:val="right"/>
              <w:rPr>
                <w:rFonts w:ascii="Arial" w:hAnsi="Arial" w:cs="Arial"/>
                <w:sz w:val="20"/>
                <w:szCs w:val="20"/>
              </w:rPr>
            </w:pPr>
          </w:p>
        </w:tc>
        <w:tc>
          <w:tcPr>
            <w:tcW w:w="888" w:type="dxa"/>
            <w:tcBorders>
              <w:top w:val="single" w:sz="4" w:space="0" w:color="auto"/>
            </w:tcBorders>
            <w:vAlign w:val="bottom"/>
          </w:tcPr>
          <w:p w14:paraId="5EE27F0C" w14:textId="77777777" w:rsidR="008C676E" w:rsidRPr="00A43702" w:rsidRDefault="008C676E" w:rsidP="00AB1DC6">
            <w:pPr>
              <w:jc w:val="right"/>
              <w:rPr>
                <w:rFonts w:ascii="Arial" w:hAnsi="Arial" w:cs="Arial"/>
                <w:sz w:val="20"/>
                <w:szCs w:val="20"/>
              </w:rPr>
            </w:pPr>
          </w:p>
        </w:tc>
        <w:tc>
          <w:tcPr>
            <w:tcW w:w="889" w:type="dxa"/>
            <w:tcBorders>
              <w:top w:val="single" w:sz="4" w:space="0" w:color="auto"/>
            </w:tcBorders>
            <w:vAlign w:val="bottom"/>
          </w:tcPr>
          <w:p w14:paraId="3230D676" w14:textId="77777777" w:rsidR="008C676E" w:rsidRPr="00A43702" w:rsidRDefault="008C676E" w:rsidP="00AB1DC6">
            <w:pPr>
              <w:jc w:val="right"/>
              <w:rPr>
                <w:rFonts w:ascii="Arial" w:hAnsi="Arial" w:cs="Arial"/>
                <w:sz w:val="20"/>
                <w:szCs w:val="20"/>
              </w:rPr>
            </w:pPr>
          </w:p>
        </w:tc>
      </w:tr>
      <w:tr w:rsidR="008C676E" w:rsidRPr="006160B8" w14:paraId="42D74A15" w14:textId="77777777" w:rsidTr="00AB1DC6">
        <w:trPr>
          <w:trHeight w:val="283"/>
        </w:trPr>
        <w:tc>
          <w:tcPr>
            <w:tcW w:w="2639" w:type="dxa"/>
            <w:vAlign w:val="center"/>
          </w:tcPr>
          <w:p w14:paraId="1D696391"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Segment assets</w:t>
            </w:r>
          </w:p>
        </w:tc>
        <w:tc>
          <w:tcPr>
            <w:tcW w:w="888" w:type="dxa"/>
            <w:vAlign w:val="bottom"/>
          </w:tcPr>
          <w:p w14:paraId="6F1D757C"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89.3</w:t>
            </w:r>
            <w:r w:rsidRPr="00A43702">
              <w:rPr>
                <w:rFonts w:ascii="Arial" w:hAnsi="Arial" w:cs="Arial"/>
                <w:b/>
                <w:bCs/>
                <w:sz w:val="20"/>
                <w:szCs w:val="20"/>
              </w:rPr>
              <w:t xml:space="preserve"> </w:t>
            </w:r>
          </w:p>
        </w:tc>
        <w:tc>
          <w:tcPr>
            <w:tcW w:w="888" w:type="dxa"/>
            <w:vAlign w:val="bottom"/>
          </w:tcPr>
          <w:p w14:paraId="5830FEA5"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23.4</w:t>
            </w:r>
            <w:r w:rsidRPr="00A43702">
              <w:rPr>
                <w:rFonts w:ascii="Arial" w:hAnsi="Arial" w:cs="Arial"/>
                <w:b/>
                <w:bCs/>
                <w:sz w:val="20"/>
                <w:szCs w:val="20"/>
              </w:rPr>
              <w:t xml:space="preserve"> </w:t>
            </w:r>
          </w:p>
        </w:tc>
        <w:tc>
          <w:tcPr>
            <w:tcW w:w="889" w:type="dxa"/>
            <w:vAlign w:val="bottom"/>
          </w:tcPr>
          <w:p w14:paraId="6AA5EFA8" w14:textId="702E77EE" w:rsidR="008C676E" w:rsidRPr="00A43702" w:rsidRDefault="008D05A6" w:rsidP="00AB1DC6">
            <w:pPr>
              <w:jc w:val="right"/>
              <w:rPr>
                <w:rFonts w:ascii="Arial" w:hAnsi="Arial" w:cs="Arial"/>
                <w:b/>
                <w:bCs/>
                <w:sz w:val="20"/>
                <w:szCs w:val="20"/>
              </w:rPr>
            </w:pPr>
            <w:r>
              <w:rPr>
                <w:rFonts w:ascii="Arial" w:hAnsi="Arial" w:cs="Arial"/>
                <w:b/>
                <w:bCs/>
                <w:sz w:val="20"/>
                <w:szCs w:val="20"/>
              </w:rPr>
              <w:t>3</w:t>
            </w:r>
            <w:r w:rsidR="00FD35E9">
              <w:rPr>
                <w:rFonts w:ascii="Arial" w:hAnsi="Arial" w:cs="Arial"/>
                <w:b/>
                <w:bCs/>
                <w:sz w:val="20"/>
                <w:szCs w:val="20"/>
              </w:rPr>
              <w:t>79.4</w:t>
            </w:r>
            <w:r w:rsidR="008C676E" w:rsidRPr="00A43702">
              <w:rPr>
                <w:rFonts w:ascii="Arial" w:hAnsi="Arial" w:cs="Arial"/>
                <w:b/>
                <w:bCs/>
                <w:sz w:val="20"/>
                <w:szCs w:val="20"/>
              </w:rPr>
              <w:t xml:space="preserve"> </w:t>
            </w:r>
          </w:p>
        </w:tc>
        <w:tc>
          <w:tcPr>
            <w:tcW w:w="888" w:type="dxa"/>
            <w:vAlign w:val="bottom"/>
          </w:tcPr>
          <w:p w14:paraId="7AE7F990" w14:textId="5F0D8C06" w:rsidR="008C676E" w:rsidRPr="00A43702" w:rsidRDefault="00FD35E9" w:rsidP="00AB1DC6">
            <w:pPr>
              <w:jc w:val="right"/>
              <w:rPr>
                <w:rFonts w:ascii="Arial" w:hAnsi="Arial" w:cs="Arial"/>
                <w:b/>
                <w:bCs/>
                <w:sz w:val="20"/>
                <w:szCs w:val="20"/>
              </w:rPr>
            </w:pPr>
            <w:r>
              <w:rPr>
                <w:rFonts w:ascii="Arial" w:hAnsi="Arial" w:cs="Arial"/>
                <w:b/>
                <w:bCs/>
                <w:sz w:val="20"/>
                <w:szCs w:val="20"/>
              </w:rPr>
              <w:t>492.1</w:t>
            </w:r>
          </w:p>
        </w:tc>
        <w:tc>
          <w:tcPr>
            <w:tcW w:w="888" w:type="dxa"/>
            <w:vAlign w:val="bottom"/>
          </w:tcPr>
          <w:p w14:paraId="305DFAFB"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152.2 </w:t>
            </w:r>
          </w:p>
        </w:tc>
        <w:tc>
          <w:tcPr>
            <w:tcW w:w="889" w:type="dxa"/>
            <w:vAlign w:val="bottom"/>
          </w:tcPr>
          <w:p w14:paraId="207237CB"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38.9 </w:t>
            </w:r>
          </w:p>
        </w:tc>
        <w:tc>
          <w:tcPr>
            <w:tcW w:w="888" w:type="dxa"/>
            <w:vAlign w:val="bottom"/>
          </w:tcPr>
          <w:p w14:paraId="58D31A98" w14:textId="25C19E58" w:rsidR="008C676E" w:rsidRPr="00A43702" w:rsidRDefault="008D05A6" w:rsidP="00AB1DC6">
            <w:pPr>
              <w:jc w:val="right"/>
              <w:rPr>
                <w:rFonts w:ascii="Arial" w:hAnsi="Arial" w:cs="Arial"/>
                <w:sz w:val="20"/>
                <w:szCs w:val="20"/>
              </w:rPr>
            </w:pPr>
            <w:r>
              <w:rPr>
                <w:rFonts w:ascii="Arial" w:hAnsi="Arial" w:cs="Arial"/>
                <w:sz w:val="20"/>
                <w:szCs w:val="20"/>
              </w:rPr>
              <w:t>57</w:t>
            </w:r>
            <w:r w:rsidR="00C661FD">
              <w:rPr>
                <w:rFonts w:ascii="Arial" w:hAnsi="Arial" w:cs="Arial"/>
                <w:sz w:val="20"/>
                <w:szCs w:val="20"/>
              </w:rPr>
              <w:t>5.1</w:t>
            </w:r>
          </w:p>
        </w:tc>
        <w:tc>
          <w:tcPr>
            <w:tcW w:w="889" w:type="dxa"/>
            <w:vAlign w:val="bottom"/>
          </w:tcPr>
          <w:p w14:paraId="35B02DBC" w14:textId="0FE4597B" w:rsidR="008C676E" w:rsidRPr="00A43702" w:rsidRDefault="008D05A6" w:rsidP="00AB1DC6">
            <w:pPr>
              <w:jc w:val="right"/>
              <w:rPr>
                <w:rFonts w:ascii="Arial" w:hAnsi="Arial" w:cs="Arial"/>
                <w:sz w:val="20"/>
                <w:szCs w:val="20"/>
              </w:rPr>
            </w:pPr>
            <w:r>
              <w:rPr>
                <w:rFonts w:ascii="Arial" w:hAnsi="Arial" w:cs="Arial"/>
                <w:sz w:val="20"/>
                <w:szCs w:val="20"/>
              </w:rPr>
              <w:t>76</w:t>
            </w:r>
            <w:r w:rsidR="00C661FD">
              <w:rPr>
                <w:rFonts w:ascii="Arial" w:hAnsi="Arial" w:cs="Arial"/>
                <w:sz w:val="20"/>
                <w:szCs w:val="20"/>
              </w:rPr>
              <w:t>6.2</w:t>
            </w:r>
          </w:p>
        </w:tc>
      </w:tr>
      <w:tr w:rsidR="008C676E" w:rsidRPr="006160B8" w14:paraId="2F13E6D3" w14:textId="77777777" w:rsidTr="00AB1DC6">
        <w:trPr>
          <w:trHeight w:val="283"/>
        </w:trPr>
        <w:tc>
          <w:tcPr>
            <w:tcW w:w="2639" w:type="dxa"/>
            <w:vAlign w:val="center"/>
          </w:tcPr>
          <w:p w14:paraId="5841D7BA"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Segment liabilities</w:t>
            </w:r>
          </w:p>
        </w:tc>
        <w:tc>
          <w:tcPr>
            <w:tcW w:w="888" w:type="dxa"/>
            <w:vAlign w:val="bottom"/>
          </w:tcPr>
          <w:p w14:paraId="70FDDB13"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79.6</w:t>
            </w:r>
            <w:r w:rsidRPr="00A43702">
              <w:rPr>
                <w:rFonts w:ascii="Arial" w:hAnsi="Arial" w:cs="Arial"/>
                <w:b/>
                <w:bCs/>
                <w:sz w:val="20"/>
                <w:szCs w:val="20"/>
              </w:rPr>
              <w:t>)</w:t>
            </w:r>
          </w:p>
        </w:tc>
        <w:tc>
          <w:tcPr>
            <w:tcW w:w="888" w:type="dxa"/>
            <w:vAlign w:val="bottom"/>
          </w:tcPr>
          <w:p w14:paraId="55CA664E"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24.8</w:t>
            </w:r>
            <w:r w:rsidRPr="00A43702">
              <w:rPr>
                <w:rFonts w:ascii="Arial" w:hAnsi="Arial" w:cs="Arial"/>
                <w:b/>
                <w:bCs/>
                <w:sz w:val="20"/>
                <w:szCs w:val="20"/>
              </w:rPr>
              <w:t>)</w:t>
            </w:r>
          </w:p>
        </w:tc>
        <w:tc>
          <w:tcPr>
            <w:tcW w:w="889" w:type="dxa"/>
            <w:vAlign w:val="bottom"/>
          </w:tcPr>
          <w:p w14:paraId="50C3A8A9" w14:textId="46499069"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2</w:t>
            </w:r>
            <w:r w:rsidR="00FD35E9">
              <w:rPr>
                <w:rFonts w:ascii="Arial" w:hAnsi="Arial" w:cs="Arial"/>
                <w:b/>
                <w:bCs/>
                <w:sz w:val="20"/>
                <w:szCs w:val="20"/>
              </w:rPr>
              <w:t>66.1</w:t>
            </w:r>
            <w:r w:rsidRPr="00A43702">
              <w:rPr>
                <w:rFonts w:ascii="Arial" w:hAnsi="Arial" w:cs="Arial"/>
                <w:b/>
                <w:bCs/>
                <w:sz w:val="20"/>
                <w:szCs w:val="20"/>
              </w:rPr>
              <w:t>)</w:t>
            </w:r>
          </w:p>
        </w:tc>
        <w:tc>
          <w:tcPr>
            <w:tcW w:w="888" w:type="dxa"/>
            <w:vAlign w:val="bottom"/>
          </w:tcPr>
          <w:p w14:paraId="7D2A2B90" w14:textId="1C9B9986"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3</w:t>
            </w:r>
            <w:r w:rsidR="00D559E2">
              <w:rPr>
                <w:rFonts w:ascii="Arial" w:hAnsi="Arial" w:cs="Arial"/>
                <w:b/>
                <w:bCs/>
                <w:sz w:val="20"/>
                <w:szCs w:val="20"/>
              </w:rPr>
              <w:t>7</w:t>
            </w:r>
            <w:r w:rsidR="00FD35E9">
              <w:rPr>
                <w:rFonts w:ascii="Arial" w:hAnsi="Arial" w:cs="Arial"/>
                <w:b/>
                <w:bCs/>
                <w:sz w:val="20"/>
                <w:szCs w:val="20"/>
              </w:rPr>
              <w:t>0.5</w:t>
            </w:r>
            <w:r w:rsidRPr="00A43702">
              <w:rPr>
                <w:rFonts w:ascii="Arial" w:hAnsi="Arial" w:cs="Arial"/>
                <w:b/>
                <w:bCs/>
                <w:sz w:val="20"/>
                <w:szCs w:val="20"/>
              </w:rPr>
              <w:t>)</w:t>
            </w:r>
          </w:p>
        </w:tc>
        <w:tc>
          <w:tcPr>
            <w:tcW w:w="888" w:type="dxa"/>
            <w:vAlign w:val="bottom"/>
          </w:tcPr>
          <w:p w14:paraId="55D64127"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(58.5)</w:t>
            </w:r>
          </w:p>
        </w:tc>
        <w:tc>
          <w:tcPr>
            <w:tcW w:w="889" w:type="dxa"/>
            <w:vAlign w:val="bottom"/>
          </w:tcPr>
          <w:p w14:paraId="178E492A"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(22.8)</w:t>
            </w:r>
          </w:p>
        </w:tc>
        <w:tc>
          <w:tcPr>
            <w:tcW w:w="888" w:type="dxa"/>
            <w:vAlign w:val="bottom"/>
          </w:tcPr>
          <w:p w14:paraId="48999B7C"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(284.2)</w:t>
            </w:r>
          </w:p>
        </w:tc>
        <w:tc>
          <w:tcPr>
            <w:tcW w:w="889" w:type="dxa"/>
            <w:vAlign w:val="bottom"/>
          </w:tcPr>
          <w:p w14:paraId="47EECBF9" w14:textId="185D756F" w:rsidR="008C676E" w:rsidRPr="00A43702" w:rsidRDefault="008C676E" w:rsidP="00AB1DC6">
            <w:pPr>
              <w:jc w:val="right"/>
              <w:rPr>
                <w:rFonts w:ascii="Arial" w:hAnsi="Arial" w:cs="Arial"/>
                <w:sz w:val="20"/>
                <w:szCs w:val="20"/>
              </w:rPr>
            </w:pPr>
            <w:r w:rsidRPr="00A43702">
              <w:rPr>
                <w:rFonts w:ascii="Arial" w:hAnsi="Arial" w:cs="Arial"/>
                <w:sz w:val="20"/>
                <w:szCs w:val="20"/>
              </w:rPr>
              <w:t>(365.</w:t>
            </w:r>
            <w:r w:rsidR="008D05A6">
              <w:rPr>
                <w:rFonts w:ascii="Arial" w:hAnsi="Arial" w:cs="Arial"/>
                <w:sz w:val="20"/>
                <w:szCs w:val="20"/>
              </w:rPr>
              <w:t>5</w:t>
            </w:r>
            <w:r w:rsidRPr="00A43702">
              <w:rPr>
                <w:rFonts w:ascii="Arial" w:hAnsi="Arial" w:cs="Arial"/>
                <w:sz w:val="20"/>
                <w:szCs w:val="20"/>
              </w:rPr>
              <w:t>)</w:t>
            </w:r>
          </w:p>
        </w:tc>
      </w:tr>
      <w:tr w:rsidR="008C676E" w:rsidRPr="006160B8" w14:paraId="5DC2B14E" w14:textId="77777777" w:rsidTr="00AB1DC6">
        <w:trPr>
          <w:trHeight w:val="283"/>
        </w:trPr>
        <w:tc>
          <w:tcPr>
            <w:tcW w:w="2639" w:type="dxa"/>
            <w:vAlign w:val="center"/>
          </w:tcPr>
          <w:p w14:paraId="298AFE8D"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Capital expenditure</w:t>
            </w:r>
          </w:p>
        </w:tc>
        <w:tc>
          <w:tcPr>
            <w:tcW w:w="888" w:type="dxa"/>
            <w:vAlign w:val="bottom"/>
          </w:tcPr>
          <w:p w14:paraId="54542F27"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3.8</w:t>
            </w:r>
            <w:r w:rsidRPr="00A43702">
              <w:rPr>
                <w:rFonts w:ascii="Arial" w:hAnsi="Arial" w:cs="Arial"/>
                <w:b/>
                <w:bCs/>
                <w:sz w:val="20"/>
                <w:szCs w:val="20"/>
              </w:rPr>
              <w:t>)</w:t>
            </w:r>
          </w:p>
        </w:tc>
        <w:tc>
          <w:tcPr>
            <w:tcW w:w="888" w:type="dxa"/>
            <w:vAlign w:val="bottom"/>
          </w:tcPr>
          <w:p w14:paraId="3CA1D365"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3.1</w:t>
            </w:r>
            <w:r w:rsidRPr="00A43702">
              <w:rPr>
                <w:rFonts w:ascii="Arial" w:hAnsi="Arial" w:cs="Arial"/>
                <w:b/>
                <w:bCs/>
                <w:sz w:val="20"/>
                <w:szCs w:val="20"/>
              </w:rPr>
              <w:t>)</w:t>
            </w:r>
          </w:p>
        </w:tc>
        <w:tc>
          <w:tcPr>
            <w:tcW w:w="889" w:type="dxa"/>
            <w:vAlign w:val="bottom"/>
          </w:tcPr>
          <w:p w14:paraId="27379692"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w:t>
            </w:r>
          </w:p>
        </w:tc>
        <w:tc>
          <w:tcPr>
            <w:tcW w:w="888" w:type="dxa"/>
            <w:vAlign w:val="bottom"/>
          </w:tcPr>
          <w:p w14:paraId="1A982074"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6.9</w:t>
            </w:r>
            <w:r w:rsidRPr="00A43702">
              <w:rPr>
                <w:rFonts w:ascii="Arial" w:hAnsi="Arial" w:cs="Arial"/>
                <w:b/>
                <w:bCs/>
                <w:sz w:val="20"/>
                <w:szCs w:val="20"/>
              </w:rPr>
              <w:t>)</w:t>
            </w:r>
          </w:p>
        </w:tc>
        <w:tc>
          <w:tcPr>
            <w:tcW w:w="888" w:type="dxa"/>
            <w:vAlign w:val="bottom"/>
          </w:tcPr>
          <w:p w14:paraId="5921CB92"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(5.7)</w:t>
            </w:r>
          </w:p>
        </w:tc>
        <w:tc>
          <w:tcPr>
            <w:tcW w:w="889" w:type="dxa"/>
            <w:vAlign w:val="bottom"/>
          </w:tcPr>
          <w:p w14:paraId="008B7A2F"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(1.1)</w:t>
            </w:r>
          </w:p>
        </w:tc>
        <w:tc>
          <w:tcPr>
            <w:tcW w:w="888" w:type="dxa"/>
            <w:vAlign w:val="bottom"/>
          </w:tcPr>
          <w:p w14:paraId="01DAFDE6" w14:textId="546EEF4D" w:rsidR="008C676E" w:rsidRPr="00A43702" w:rsidRDefault="008C676E" w:rsidP="00AB1DC6">
            <w:pPr>
              <w:jc w:val="right"/>
              <w:rPr>
                <w:rFonts w:ascii="Arial" w:hAnsi="Arial" w:cs="Arial"/>
                <w:sz w:val="20"/>
                <w:szCs w:val="20"/>
              </w:rPr>
            </w:pPr>
            <w:r w:rsidRPr="00A43702">
              <w:rPr>
                <w:rFonts w:ascii="Arial" w:hAnsi="Arial" w:cs="Arial"/>
                <w:sz w:val="20"/>
                <w:szCs w:val="20"/>
              </w:rPr>
              <w:t>(0.</w:t>
            </w:r>
            <w:r w:rsidR="008D05A6">
              <w:rPr>
                <w:rFonts w:ascii="Arial" w:hAnsi="Arial" w:cs="Arial"/>
                <w:sz w:val="20"/>
                <w:szCs w:val="20"/>
              </w:rPr>
              <w:t>2</w:t>
            </w:r>
            <w:r w:rsidRPr="00A43702">
              <w:rPr>
                <w:rFonts w:ascii="Arial" w:hAnsi="Arial" w:cs="Arial"/>
                <w:sz w:val="20"/>
                <w:szCs w:val="20"/>
              </w:rPr>
              <w:t>)</w:t>
            </w:r>
          </w:p>
        </w:tc>
        <w:tc>
          <w:tcPr>
            <w:tcW w:w="889" w:type="dxa"/>
            <w:vAlign w:val="bottom"/>
          </w:tcPr>
          <w:p w14:paraId="494B0319"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(7.0)</w:t>
            </w:r>
          </w:p>
        </w:tc>
      </w:tr>
      <w:tr w:rsidR="008C676E" w:rsidRPr="006160B8" w14:paraId="32461238" w14:textId="77777777" w:rsidTr="00AB1DC6">
        <w:trPr>
          <w:trHeight w:val="283"/>
        </w:trPr>
        <w:tc>
          <w:tcPr>
            <w:tcW w:w="2639" w:type="dxa"/>
            <w:tcBorders>
              <w:bottom w:val="double" w:sz="4" w:space="0" w:color="auto"/>
            </w:tcBorders>
            <w:vAlign w:val="center"/>
          </w:tcPr>
          <w:p w14:paraId="1118D90D" w14:textId="77777777" w:rsidR="008C676E" w:rsidRPr="00555EBB" w:rsidRDefault="008C676E" w:rsidP="00AB1DC6">
            <w:pPr>
              <w:rPr>
                <w:rFonts w:ascii="Arial" w:eastAsia="Times New Roman" w:hAnsi="Arial" w:cs="Arial"/>
                <w:color w:val="000000"/>
                <w:sz w:val="20"/>
                <w:szCs w:val="20"/>
              </w:rPr>
            </w:pPr>
            <w:r w:rsidRPr="00555EBB">
              <w:rPr>
                <w:rFonts w:ascii="Arial" w:eastAsia="Times New Roman" w:hAnsi="Arial" w:cs="Arial"/>
                <w:color w:val="000000"/>
                <w:sz w:val="20"/>
                <w:szCs w:val="20"/>
              </w:rPr>
              <w:t>Depreciation and amortisation</w:t>
            </w:r>
          </w:p>
        </w:tc>
        <w:tc>
          <w:tcPr>
            <w:tcW w:w="888" w:type="dxa"/>
            <w:tcBorders>
              <w:bottom w:val="double" w:sz="4" w:space="0" w:color="auto"/>
            </w:tcBorders>
            <w:vAlign w:val="bottom"/>
          </w:tcPr>
          <w:p w14:paraId="014B87CA" w14:textId="77777777" w:rsidR="008C676E" w:rsidRPr="00555EBB" w:rsidRDefault="008C676E" w:rsidP="00AB1DC6">
            <w:pPr>
              <w:jc w:val="right"/>
              <w:rPr>
                <w:rFonts w:ascii="Arial" w:hAnsi="Arial" w:cs="Arial"/>
                <w:b/>
                <w:bCs/>
                <w:sz w:val="20"/>
                <w:szCs w:val="20"/>
              </w:rPr>
            </w:pPr>
            <w:r w:rsidRPr="00555EBB">
              <w:rPr>
                <w:rFonts w:ascii="Arial" w:hAnsi="Arial" w:cs="Arial"/>
                <w:b/>
                <w:bCs/>
                <w:sz w:val="20"/>
                <w:szCs w:val="20"/>
              </w:rPr>
              <w:t>(12.0)</w:t>
            </w:r>
          </w:p>
        </w:tc>
        <w:tc>
          <w:tcPr>
            <w:tcW w:w="888" w:type="dxa"/>
            <w:tcBorders>
              <w:bottom w:val="double" w:sz="4" w:space="0" w:color="auto"/>
            </w:tcBorders>
            <w:vAlign w:val="bottom"/>
          </w:tcPr>
          <w:p w14:paraId="49A50F79" w14:textId="77777777" w:rsidR="008C676E" w:rsidRPr="00555EBB" w:rsidRDefault="008C676E" w:rsidP="00AB1DC6">
            <w:pPr>
              <w:jc w:val="right"/>
              <w:rPr>
                <w:rFonts w:ascii="Arial" w:hAnsi="Arial" w:cs="Arial"/>
                <w:b/>
                <w:bCs/>
                <w:sz w:val="20"/>
                <w:szCs w:val="20"/>
              </w:rPr>
            </w:pPr>
            <w:r w:rsidRPr="00555EBB">
              <w:rPr>
                <w:rFonts w:ascii="Arial" w:hAnsi="Arial" w:cs="Arial"/>
                <w:b/>
                <w:bCs/>
                <w:sz w:val="20"/>
                <w:szCs w:val="20"/>
              </w:rPr>
              <w:t>(4.5)</w:t>
            </w:r>
          </w:p>
        </w:tc>
        <w:tc>
          <w:tcPr>
            <w:tcW w:w="889" w:type="dxa"/>
            <w:tcBorders>
              <w:bottom w:val="double" w:sz="4" w:space="0" w:color="auto"/>
            </w:tcBorders>
            <w:vAlign w:val="bottom"/>
          </w:tcPr>
          <w:p w14:paraId="5C4F6C8C" w14:textId="3EDF3DDB" w:rsidR="008C676E" w:rsidRPr="00555EBB" w:rsidRDefault="008C676E" w:rsidP="00AB1DC6">
            <w:pPr>
              <w:jc w:val="right"/>
              <w:rPr>
                <w:rFonts w:ascii="Arial" w:hAnsi="Arial" w:cs="Arial"/>
                <w:b/>
                <w:bCs/>
                <w:sz w:val="20"/>
                <w:szCs w:val="20"/>
              </w:rPr>
            </w:pPr>
            <w:r w:rsidRPr="00555EBB">
              <w:rPr>
                <w:rFonts w:ascii="Arial" w:hAnsi="Arial" w:cs="Arial"/>
                <w:b/>
                <w:bCs/>
                <w:sz w:val="20"/>
                <w:szCs w:val="20"/>
              </w:rPr>
              <w:t>(13.</w:t>
            </w:r>
            <w:r w:rsidR="00D559E2">
              <w:rPr>
                <w:rFonts w:ascii="Arial" w:hAnsi="Arial" w:cs="Arial"/>
                <w:b/>
                <w:bCs/>
                <w:sz w:val="20"/>
                <w:szCs w:val="20"/>
              </w:rPr>
              <w:t>6</w:t>
            </w:r>
            <w:r w:rsidRPr="00555EBB">
              <w:rPr>
                <w:rFonts w:ascii="Arial" w:hAnsi="Arial" w:cs="Arial"/>
                <w:b/>
                <w:bCs/>
                <w:sz w:val="20"/>
                <w:szCs w:val="20"/>
              </w:rPr>
              <w:t>)</w:t>
            </w:r>
          </w:p>
        </w:tc>
        <w:tc>
          <w:tcPr>
            <w:tcW w:w="888" w:type="dxa"/>
            <w:tcBorders>
              <w:bottom w:val="double" w:sz="4" w:space="0" w:color="auto"/>
            </w:tcBorders>
            <w:vAlign w:val="bottom"/>
          </w:tcPr>
          <w:p w14:paraId="6E04291F" w14:textId="1554CF15" w:rsidR="008C676E" w:rsidRPr="00555EBB" w:rsidRDefault="008C676E" w:rsidP="00AB1DC6">
            <w:pPr>
              <w:jc w:val="right"/>
              <w:rPr>
                <w:rFonts w:ascii="Arial" w:hAnsi="Arial" w:cs="Arial"/>
                <w:b/>
                <w:bCs/>
                <w:sz w:val="20"/>
                <w:szCs w:val="20"/>
              </w:rPr>
            </w:pPr>
            <w:r w:rsidRPr="00555EBB">
              <w:rPr>
                <w:rFonts w:ascii="Arial" w:hAnsi="Arial" w:cs="Arial"/>
                <w:b/>
                <w:bCs/>
                <w:sz w:val="20"/>
                <w:szCs w:val="20"/>
              </w:rPr>
              <w:t>(30.</w:t>
            </w:r>
            <w:r w:rsidR="00D559E2">
              <w:rPr>
                <w:rFonts w:ascii="Arial" w:hAnsi="Arial" w:cs="Arial"/>
                <w:b/>
                <w:bCs/>
                <w:sz w:val="20"/>
                <w:szCs w:val="20"/>
              </w:rPr>
              <w:t>1</w:t>
            </w:r>
            <w:r w:rsidRPr="00555EBB">
              <w:rPr>
                <w:rFonts w:ascii="Arial" w:hAnsi="Arial" w:cs="Arial"/>
                <w:b/>
                <w:bCs/>
                <w:sz w:val="20"/>
                <w:szCs w:val="20"/>
              </w:rPr>
              <w:t>)</w:t>
            </w:r>
          </w:p>
        </w:tc>
        <w:tc>
          <w:tcPr>
            <w:tcW w:w="888" w:type="dxa"/>
            <w:tcBorders>
              <w:bottom w:val="double" w:sz="4" w:space="0" w:color="auto"/>
            </w:tcBorders>
            <w:vAlign w:val="bottom"/>
          </w:tcPr>
          <w:p w14:paraId="30AA8A8A" w14:textId="77777777" w:rsidR="008C676E" w:rsidRPr="00555EBB" w:rsidRDefault="008C676E" w:rsidP="00AB1DC6">
            <w:pPr>
              <w:jc w:val="right"/>
              <w:rPr>
                <w:rFonts w:ascii="Arial" w:hAnsi="Arial" w:cs="Arial"/>
                <w:sz w:val="20"/>
                <w:szCs w:val="20"/>
              </w:rPr>
            </w:pPr>
            <w:r w:rsidRPr="00555EBB">
              <w:rPr>
                <w:rFonts w:ascii="Arial" w:hAnsi="Arial" w:cs="Arial"/>
                <w:sz w:val="20"/>
                <w:szCs w:val="20"/>
              </w:rPr>
              <w:t>(10.9)</w:t>
            </w:r>
          </w:p>
        </w:tc>
        <w:tc>
          <w:tcPr>
            <w:tcW w:w="889" w:type="dxa"/>
            <w:tcBorders>
              <w:bottom w:val="double" w:sz="4" w:space="0" w:color="auto"/>
            </w:tcBorders>
            <w:vAlign w:val="bottom"/>
          </w:tcPr>
          <w:p w14:paraId="1991A8C7" w14:textId="77777777" w:rsidR="008C676E" w:rsidRPr="00555EBB" w:rsidRDefault="008C676E" w:rsidP="00AB1DC6">
            <w:pPr>
              <w:jc w:val="right"/>
              <w:rPr>
                <w:rFonts w:ascii="Arial" w:hAnsi="Arial" w:cs="Arial"/>
                <w:sz w:val="20"/>
                <w:szCs w:val="20"/>
              </w:rPr>
            </w:pPr>
            <w:r w:rsidRPr="00555EBB">
              <w:rPr>
                <w:rFonts w:ascii="Arial" w:hAnsi="Arial" w:cs="Arial"/>
                <w:sz w:val="20"/>
                <w:szCs w:val="20"/>
              </w:rPr>
              <w:t>(3.8)</w:t>
            </w:r>
          </w:p>
        </w:tc>
        <w:tc>
          <w:tcPr>
            <w:tcW w:w="888" w:type="dxa"/>
            <w:tcBorders>
              <w:bottom w:val="double" w:sz="4" w:space="0" w:color="auto"/>
            </w:tcBorders>
            <w:vAlign w:val="bottom"/>
          </w:tcPr>
          <w:p w14:paraId="04048934" w14:textId="77777777" w:rsidR="008C676E" w:rsidRPr="00555EBB" w:rsidRDefault="008C676E" w:rsidP="00AB1DC6">
            <w:pPr>
              <w:jc w:val="right"/>
              <w:rPr>
                <w:rFonts w:ascii="Arial" w:hAnsi="Arial" w:cs="Arial"/>
                <w:sz w:val="20"/>
                <w:szCs w:val="20"/>
              </w:rPr>
            </w:pPr>
            <w:r w:rsidRPr="00555EBB">
              <w:rPr>
                <w:rFonts w:ascii="Arial" w:hAnsi="Arial" w:cs="Arial"/>
                <w:sz w:val="20"/>
                <w:szCs w:val="20"/>
              </w:rPr>
              <w:t>(24.4)</w:t>
            </w:r>
          </w:p>
        </w:tc>
        <w:tc>
          <w:tcPr>
            <w:tcW w:w="889" w:type="dxa"/>
            <w:tcBorders>
              <w:bottom w:val="double" w:sz="4" w:space="0" w:color="auto"/>
            </w:tcBorders>
            <w:vAlign w:val="bottom"/>
          </w:tcPr>
          <w:p w14:paraId="3D103821" w14:textId="77777777" w:rsidR="008C676E" w:rsidRPr="00555EBB" w:rsidRDefault="008C676E" w:rsidP="00AB1DC6">
            <w:pPr>
              <w:jc w:val="right"/>
              <w:rPr>
                <w:rFonts w:ascii="Arial" w:hAnsi="Arial" w:cs="Arial"/>
                <w:sz w:val="20"/>
                <w:szCs w:val="20"/>
              </w:rPr>
            </w:pPr>
            <w:r w:rsidRPr="00555EBB">
              <w:rPr>
                <w:rFonts w:ascii="Arial" w:hAnsi="Arial" w:cs="Arial"/>
                <w:sz w:val="20"/>
                <w:szCs w:val="20"/>
              </w:rPr>
              <w:t>(39.1)</w:t>
            </w:r>
          </w:p>
        </w:tc>
      </w:tr>
    </w:tbl>
    <w:p w14:paraId="224AD6F1" w14:textId="77777777" w:rsidR="008C676E" w:rsidRPr="00A43702" w:rsidRDefault="008C676E" w:rsidP="008C676E">
      <w:pPr>
        <w:spacing w:after="0"/>
        <w:jc w:val="both"/>
        <w:rPr>
          <w:rFonts w:ascii="Arial" w:hAnsi="Arial" w:cs="Arial"/>
          <w:i/>
          <w:iCs/>
          <w:sz w:val="20"/>
          <w:szCs w:val="20"/>
          <w:lang w:eastAsia="en-GB"/>
        </w:rPr>
      </w:pPr>
    </w:p>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1157"/>
        <w:gridCol w:w="1157"/>
        <w:gridCol w:w="1157"/>
        <w:gridCol w:w="1158"/>
      </w:tblGrid>
      <w:tr w:rsidR="008C676E" w:rsidRPr="006160B8" w14:paraId="5C01737E" w14:textId="77777777" w:rsidTr="00AB1DC6">
        <w:trPr>
          <w:trHeight w:val="283"/>
        </w:trPr>
        <w:tc>
          <w:tcPr>
            <w:tcW w:w="5123" w:type="dxa"/>
            <w:vAlign w:val="center"/>
          </w:tcPr>
          <w:p w14:paraId="2C24AE59" w14:textId="77777777" w:rsidR="008C676E" w:rsidRPr="00A43702" w:rsidRDefault="008C676E" w:rsidP="00AB1DC6">
            <w:pPr>
              <w:jc w:val="both"/>
              <w:rPr>
                <w:rFonts w:ascii="Arial" w:hAnsi="Arial" w:cs="Arial"/>
                <w:sz w:val="20"/>
                <w:szCs w:val="20"/>
              </w:rPr>
            </w:pPr>
          </w:p>
        </w:tc>
        <w:tc>
          <w:tcPr>
            <w:tcW w:w="2314" w:type="dxa"/>
            <w:gridSpan w:val="2"/>
            <w:vAlign w:val="bottom"/>
          </w:tcPr>
          <w:p w14:paraId="16415B29" w14:textId="77777777" w:rsidR="008C676E" w:rsidRPr="00A43702" w:rsidRDefault="008C676E" w:rsidP="00AB1DC6">
            <w:pPr>
              <w:jc w:val="cente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2024</w:t>
            </w:r>
          </w:p>
        </w:tc>
        <w:tc>
          <w:tcPr>
            <w:tcW w:w="2315" w:type="dxa"/>
            <w:gridSpan w:val="2"/>
            <w:vAlign w:val="bottom"/>
          </w:tcPr>
          <w:p w14:paraId="6452EAAA" w14:textId="77777777" w:rsidR="008C676E" w:rsidRPr="00A43702" w:rsidRDefault="008C676E" w:rsidP="00AB1DC6">
            <w:pPr>
              <w:jc w:val="cente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2023</w:t>
            </w:r>
          </w:p>
        </w:tc>
      </w:tr>
      <w:tr w:rsidR="008C676E" w:rsidRPr="006160B8" w14:paraId="1A67CE26" w14:textId="77777777" w:rsidTr="00AB1DC6">
        <w:trPr>
          <w:trHeight w:val="283"/>
        </w:trPr>
        <w:tc>
          <w:tcPr>
            <w:tcW w:w="5123" w:type="dxa"/>
            <w:vAlign w:val="center"/>
          </w:tcPr>
          <w:p w14:paraId="3EB88CA7" w14:textId="77777777" w:rsidR="008C676E" w:rsidRPr="00A43702" w:rsidRDefault="008C676E" w:rsidP="00AB1DC6">
            <w:pPr>
              <w:jc w:val="both"/>
              <w:rPr>
                <w:rFonts w:ascii="Arial" w:hAnsi="Arial" w:cs="Arial"/>
                <w:sz w:val="20"/>
                <w:szCs w:val="20"/>
              </w:rPr>
            </w:pPr>
          </w:p>
        </w:tc>
        <w:tc>
          <w:tcPr>
            <w:tcW w:w="1157" w:type="dxa"/>
            <w:vAlign w:val="bottom"/>
          </w:tcPr>
          <w:p w14:paraId="48F8C161"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GRC</w:t>
            </w:r>
          </w:p>
        </w:tc>
        <w:tc>
          <w:tcPr>
            <w:tcW w:w="1157" w:type="dxa"/>
            <w:vAlign w:val="bottom"/>
          </w:tcPr>
          <w:p w14:paraId="0A1F707F"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Total</w:t>
            </w:r>
          </w:p>
        </w:tc>
        <w:tc>
          <w:tcPr>
            <w:tcW w:w="1157" w:type="dxa"/>
            <w:vAlign w:val="bottom"/>
          </w:tcPr>
          <w:p w14:paraId="732B6BD6"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GRC</w:t>
            </w:r>
          </w:p>
        </w:tc>
        <w:tc>
          <w:tcPr>
            <w:tcW w:w="1158" w:type="dxa"/>
            <w:vAlign w:val="bottom"/>
          </w:tcPr>
          <w:p w14:paraId="775531E3" w14:textId="77777777" w:rsidR="008C676E" w:rsidRPr="00A43702" w:rsidRDefault="008C676E" w:rsidP="00A139D5">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Total</w:t>
            </w:r>
          </w:p>
        </w:tc>
      </w:tr>
      <w:tr w:rsidR="008C676E" w:rsidRPr="006160B8" w14:paraId="33592AB0" w14:textId="77777777" w:rsidTr="00AB1DC6">
        <w:trPr>
          <w:trHeight w:val="283"/>
        </w:trPr>
        <w:tc>
          <w:tcPr>
            <w:tcW w:w="5123" w:type="dxa"/>
            <w:tcBorders>
              <w:bottom w:val="single" w:sz="4" w:space="0" w:color="auto"/>
            </w:tcBorders>
            <w:vAlign w:val="center"/>
          </w:tcPr>
          <w:p w14:paraId="1B5C44E0" w14:textId="77777777" w:rsidR="008C676E" w:rsidRPr="00A43702" w:rsidRDefault="008C676E" w:rsidP="00AB1DC6">
            <w:pP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Discontinued operations</w:t>
            </w:r>
          </w:p>
        </w:tc>
        <w:tc>
          <w:tcPr>
            <w:tcW w:w="1157" w:type="dxa"/>
            <w:tcBorders>
              <w:bottom w:val="single" w:sz="4" w:space="0" w:color="auto"/>
            </w:tcBorders>
            <w:vAlign w:val="bottom"/>
          </w:tcPr>
          <w:p w14:paraId="3DCAFA46"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1157" w:type="dxa"/>
            <w:tcBorders>
              <w:bottom w:val="single" w:sz="4" w:space="0" w:color="auto"/>
            </w:tcBorders>
            <w:vAlign w:val="bottom"/>
          </w:tcPr>
          <w:p w14:paraId="2EF03269"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1157" w:type="dxa"/>
            <w:tcBorders>
              <w:bottom w:val="single" w:sz="4" w:space="0" w:color="auto"/>
            </w:tcBorders>
            <w:vAlign w:val="bottom"/>
          </w:tcPr>
          <w:p w14:paraId="4FCABDF6"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1158" w:type="dxa"/>
            <w:tcBorders>
              <w:bottom w:val="single" w:sz="4" w:space="0" w:color="auto"/>
            </w:tcBorders>
            <w:vAlign w:val="bottom"/>
          </w:tcPr>
          <w:p w14:paraId="2FE65BB6"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r>
      <w:tr w:rsidR="008C676E" w:rsidRPr="006160B8" w14:paraId="5F5FA51B" w14:textId="77777777" w:rsidTr="00AB1DC6">
        <w:trPr>
          <w:trHeight w:val="283"/>
        </w:trPr>
        <w:tc>
          <w:tcPr>
            <w:tcW w:w="5123" w:type="dxa"/>
            <w:tcBorders>
              <w:top w:val="single" w:sz="4" w:space="0" w:color="auto"/>
              <w:bottom w:val="single" w:sz="4" w:space="0" w:color="auto"/>
            </w:tcBorders>
            <w:vAlign w:val="center"/>
          </w:tcPr>
          <w:p w14:paraId="7EC7660B"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Revenue</w:t>
            </w:r>
          </w:p>
        </w:tc>
        <w:tc>
          <w:tcPr>
            <w:tcW w:w="1157" w:type="dxa"/>
            <w:tcBorders>
              <w:top w:val="single" w:sz="4" w:space="0" w:color="auto"/>
              <w:bottom w:val="single" w:sz="4" w:space="0" w:color="auto"/>
            </w:tcBorders>
            <w:vAlign w:val="bottom"/>
          </w:tcPr>
          <w:p w14:paraId="42A2B878"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hAnsi="Arial" w:cs="Arial"/>
                <w:b/>
                <w:bCs/>
                <w:sz w:val="20"/>
                <w:szCs w:val="20"/>
              </w:rPr>
              <w:t xml:space="preserve">102.8 </w:t>
            </w:r>
          </w:p>
        </w:tc>
        <w:tc>
          <w:tcPr>
            <w:tcW w:w="1157" w:type="dxa"/>
            <w:tcBorders>
              <w:top w:val="single" w:sz="4" w:space="0" w:color="auto"/>
              <w:bottom w:val="single" w:sz="4" w:space="0" w:color="auto"/>
            </w:tcBorders>
            <w:vAlign w:val="bottom"/>
          </w:tcPr>
          <w:p w14:paraId="778BB2D3"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 xml:space="preserve">102.8 </w:t>
            </w:r>
          </w:p>
        </w:tc>
        <w:tc>
          <w:tcPr>
            <w:tcW w:w="1157" w:type="dxa"/>
            <w:tcBorders>
              <w:top w:val="single" w:sz="4" w:space="0" w:color="auto"/>
              <w:bottom w:val="single" w:sz="4" w:space="0" w:color="auto"/>
            </w:tcBorders>
            <w:vAlign w:val="bottom"/>
          </w:tcPr>
          <w:p w14:paraId="455843AF"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86.</w:t>
            </w:r>
            <w:r>
              <w:rPr>
                <w:rFonts w:ascii="Arial" w:hAnsi="Arial" w:cs="Arial"/>
                <w:sz w:val="20"/>
                <w:szCs w:val="20"/>
              </w:rPr>
              <w:t>1</w:t>
            </w:r>
            <w:r w:rsidRPr="00A43702">
              <w:rPr>
                <w:rFonts w:ascii="Arial" w:hAnsi="Arial" w:cs="Arial"/>
                <w:sz w:val="20"/>
                <w:szCs w:val="20"/>
              </w:rPr>
              <w:t xml:space="preserve"> </w:t>
            </w:r>
          </w:p>
        </w:tc>
        <w:tc>
          <w:tcPr>
            <w:tcW w:w="1158" w:type="dxa"/>
            <w:tcBorders>
              <w:top w:val="single" w:sz="4" w:space="0" w:color="auto"/>
              <w:bottom w:val="single" w:sz="4" w:space="0" w:color="auto"/>
            </w:tcBorders>
            <w:vAlign w:val="bottom"/>
          </w:tcPr>
          <w:p w14:paraId="6629744D" w14:textId="77777777" w:rsidR="008C676E" w:rsidRPr="00A43702" w:rsidRDefault="008C676E" w:rsidP="00AB1DC6">
            <w:pPr>
              <w:jc w:val="right"/>
              <w:rPr>
                <w:rFonts w:ascii="Arial" w:hAnsi="Arial" w:cs="Arial"/>
                <w:sz w:val="20"/>
                <w:szCs w:val="20"/>
              </w:rPr>
            </w:pPr>
            <w:r>
              <w:rPr>
                <w:rFonts w:ascii="Arial" w:hAnsi="Arial" w:cs="Arial"/>
                <w:sz w:val="20"/>
                <w:szCs w:val="20"/>
              </w:rPr>
              <w:t>86.1</w:t>
            </w:r>
            <w:r w:rsidRPr="00A43702">
              <w:rPr>
                <w:rFonts w:ascii="Arial" w:hAnsi="Arial" w:cs="Arial"/>
                <w:sz w:val="20"/>
                <w:szCs w:val="20"/>
              </w:rPr>
              <w:t xml:space="preserve"> </w:t>
            </w:r>
          </w:p>
        </w:tc>
      </w:tr>
      <w:tr w:rsidR="008C676E" w:rsidRPr="006160B8" w14:paraId="6641C806" w14:textId="77777777" w:rsidTr="00AB1DC6">
        <w:trPr>
          <w:trHeight w:val="283"/>
        </w:trPr>
        <w:tc>
          <w:tcPr>
            <w:tcW w:w="5123" w:type="dxa"/>
            <w:tcBorders>
              <w:top w:val="single" w:sz="4" w:space="0" w:color="auto"/>
            </w:tcBorders>
            <w:vAlign w:val="center"/>
          </w:tcPr>
          <w:p w14:paraId="734DF5AA"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Inter-segment elimination</w:t>
            </w:r>
          </w:p>
        </w:tc>
        <w:tc>
          <w:tcPr>
            <w:tcW w:w="1157" w:type="dxa"/>
            <w:tcBorders>
              <w:top w:val="single" w:sz="4" w:space="0" w:color="auto"/>
            </w:tcBorders>
            <w:vAlign w:val="bottom"/>
          </w:tcPr>
          <w:p w14:paraId="10D67A70"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hAnsi="Arial" w:cs="Arial"/>
                <w:b/>
                <w:bCs/>
                <w:sz w:val="20"/>
                <w:szCs w:val="20"/>
              </w:rPr>
              <w:t>(2.5)</w:t>
            </w:r>
          </w:p>
        </w:tc>
        <w:tc>
          <w:tcPr>
            <w:tcW w:w="1157" w:type="dxa"/>
            <w:tcBorders>
              <w:top w:val="single" w:sz="4" w:space="0" w:color="auto"/>
            </w:tcBorders>
            <w:vAlign w:val="bottom"/>
          </w:tcPr>
          <w:p w14:paraId="0F23E1F3"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(2.5)</w:t>
            </w:r>
          </w:p>
        </w:tc>
        <w:tc>
          <w:tcPr>
            <w:tcW w:w="1157" w:type="dxa"/>
            <w:tcBorders>
              <w:top w:val="single" w:sz="4" w:space="0" w:color="auto"/>
            </w:tcBorders>
            <w:vAlign w:val="bottom"/>
          </w:tcPr>
          <w:p w14:paraId="6E9FD0C9"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(2.3)</w:t>
            </w:r>
          </w:p>
        </w:tc>
        <w:tc>
          <w:tcPr>
            <w:tcW w:w="1158" w:type="dxa"/>
            <w:tcBorders>
              <w:top w:val="single" w:sz="4" w:space="0" w:color="auto"/>
            </w:tcBorders>
            <w:vAlign w:val="bottom"/>
          </w:tcPr>
          <w:p w14:paraId="0419A0FD"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(2.3)</w:t>
            </w:r>
          </w:p>
        </w:tc>
      </w:tr>
      <w:tr w:rsidR="008C676E" w:rsidRPr="006160B8" w14:paraId="20108CD9" w14:textId="77777777" w:rsidTr="00AB1DC6">
        <w:trPr>
          <w:trHeight w:val="283"/>
        </w:trPr>
        <w:tc>
          <w:tcPr>
            <w:tcW w:w="5123" w:type="dxa"/>
            <w:tcBorders>
              <w:bottom w:val="single" w:sz="4" w:space="0" w:color="auto"/>
            </w:tcBorders>
            <w:vAlign w:val="center"/>
          </w:tcPr>
          <w:p w14:paraId="04A37E47"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Revenue from external customers</w:t>
            </w:r>
          </w:p>
        </w:tc>
        <w:tc>
          <w:tcPr>
            <w:tcW w:w="1157" w:type="dxa"/>
            <w:tcBorders>
              <w:bottom w:val="single" w:sz="4" w:space="0" w:color="auto"/>
            </w:tcBorders>
            <w:vAlign w:val="bottom"/>
          </w:tcPr>
          <w:p w14:paraId="0F301315"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hAnsi="Arial" w:cs="Arial"/>
                <w:b/>
                <w:bCs/>
                <w:sz w:val="20"/>
                <w:szCs w:val="20"/>
              </w:rPr>
              <w:t xml:space="preserve">100.3 </w:t>
            </w:r>
          </w:p>
        </w:tc>
        <w:tc>
          <w:tcPr>
            <w:tcW w:w="1157" w:type="dxa"/>
            <w:tcBorders>
              <w:bottom w:val="single" w:sz="4" w:space="0" w:color="auto"/>
            </w:tcBorders>
            <w:vAlign w:val="bottom"/>
          </w:tcPr>
          <w:p w14:paraId="4258C354"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 xml:space="preserve">100.3 </w:t>
            </w:r>
          </w:p>
        </w:tc>
        <w:tc>
          <w:tcPr>
            <w:tcW w:w="1157" w:type="dxa"/>
            <w:tcBorders>
              <w:bottom w:val="single" w:sz="4" w:space="0" w:color="auto"/>
            </w:tcBorders>
            <w:vAlign w:val="bottom"/>
          </w:tcPr>
          <w:p w14:paraId="624A37EB" w14:textId="77777777" w:rsidR="008C676E" w:rsidRPr="00A43702" w:rsidRDefault="008C676E" w:rsidP="00AB1DC6">
            <w:pPr>
              <w:jc w:val="right"/>
              <w:rPr>
                <w:rFonts w:ascii="Arial" w:hAnsi="Arial" w:cs="Arial"/>
                <w:sz w:val="20"/>
                <w:szCs w:val="20"/>
              </w:rPr>
            </w:pPr>
            <w:r>
              <w:rPr>
                <w:rFonts w:ascii="Arial" w:hAnsi="Arial" w:cs="Arial"/>
                <w:sz w:val="20"/>
                <w:szCs w:val="20"/>
              </w:rPr>
              <w:t>83.8</w:t>
            </w:r>
            <w:r w:rsidRPr="00A43702">
              <w:rPr>
                <w:rFonts w:ascii="Arial" w:hAnsi="Arial" w:cs="Arial"/>
                <w:sz w:val="20"/>
                <w:szCs w:val="20"/>
              </w:rPr>
              <w:t xml:space="preserve"> </w:t>
            </w:r>
          </w:p>
        </w:tc>
        <w:tc>
          <w:tcPr>
            <w:tcW w:w="1158" w:type="dxa"/>
            <w:tcBorders>
              <w:bottom w:val="single" w:sz="4" w:space="0" w:color="auto"/>
            </w:tcBorders>
            <w:vAlign w:val="bottom"/>
          </w:tcPr>
          <w:p w14:paraId="54501A5F" w14:textId="77777777" w:rsidR="008C676E" w:rsidRPr="00A43702" w:rsidRDefault="008C676E" w:rsidP="00AB1DC6">
            <w:pPr>
              <w:jc w:val="right"/>
              <w:rPr>
                <w:rFonts w:ascii="Arial" w:hAnsi="Arial" w:cs="Arial"/>
                <w:sz w:val="20"/>
                <w:szCs w:val="20"/>
              </w:rPr>
            </w:pPr>
            <w:r>
              <w:rPr>
                <w:rFonts w:ascii="Arial" w:hAnsi="Arial" w:cs="Arial"/>
                <w:sz w:val="20"/>
                <w:szCs w:val="20"/>
              </w:rPr>
              <w:t>83.8</w:t>
            </w:r>
            <w:r w:rsidRPr="00A43702">
              <w:rPr>
                <w:rFonts w:ascii="Arial" w:hAnsi="Arial" w:cs="Arial"/>
                <w:sz w:val="20"/>
                <w:szCs w:val="20"/>
              </w:rPr>
              <w:t xml:space="preserve"> </w:t>
            </w:r>
          </w:p>
        </w:tc>
      </w:tr>
      <w:tr w:rsidR="008C676E" w:rsidRPr="006160B8" w14:paraId="23D8824E" w14:textId="77777777" w:rsidTr="00AB1DC6">
        <w:trPr>
          <w:trHeight w:val="283"/>
        </w:trPr>
        <w:tc>
          <w:tcPr>
            <w:tcW w:w="5123" w:type="dxa"/>
            <w:tcBorders>
              <w:top w:val="single" w:sz="4" w:space="0" w:color="auto"/>
              <w:bottom w:val="single" w:sz="4" w:space="0" w:color="auto"/>
            </w:tcBorders>
            <w:vAlign w:val="center"/>
          </w:tcPr>
          <w:p w14:paraId="35F82E9C" w14:textId="719907E8"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Segment adjusted operating profit</w:t>
            </w:r>
          </w:p>
        </w:tc>
        <w:tc>
          <w:tcPr>
            <w:tcW w:w="1157" w:type="dxa"/>
            <w:tcBorders>
              <w:top w:val="single" w:sz="4" w:space="0" w:color="auto"/>
              <w:bottom w:val="single" w:sz="4" w:space="0" w:color="auto"/>
            </w:tcBorders>
            <w:vAlign w:val="bottom"/>
          </w:tcPr>
          <w:p w14:paraId="0D20DEFB"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hAnsi="Arial" w:cs="Arial"/>
                <w:b/>
                <w:bCs/>
                <w:sz w:val="20"/>
                <w:szCs w:val="20"/>
              </w:rPr>
              <w:t xml:space="preserve">33.3 </w:t>
            </w:r>
          </w:p>
        </w:tc>
        <w:tc>
          <w:tcPr>
            <w:tcW w:w="1157" w:type="dxa"/>
            <w:tcBorders>
              <w:top w:val="single" w:sz="4" w:space="0" w:color="auto"/>
              <w:bottom w:val="single" w:sz="4" w:space="0" w:color="auto"/>
            </w:tcBorders>
            <w:vAlign w:val="bottom"/>
          </w:tcPr>
          <w:p w14:paraId="41170186"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 xml:space="preserve">33.3 </w:t>
            </w:r>
          </w:p>
        </w:tc>
        <w:tc>
          <w:tcPr>
            <w:tcW w:w="1157" w:type="dxa"/>
            <w:tcBorders>
              <w:top w:val="single" w:sz="4" w:space="0" w:color="auto"/>
              <w:bottom w:val="single" w:sz="4" w:space="0" w:color="auto"/>
            </w:tcBorders>
            <w:vAlign w:val="bottom"/>
          </w:tcPr>
          <w:p w14:paraId="2AA25051"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28.</w:t>
            </w:r>
            <w:r>
              <w:rPr>
                <w:rFonts w:ascii="Arial" w:hAnsi="Arial" w:cs="Arial"/>
                <w:sz w:val="20"/>
                <w:szCs w:val="20"/>
              </w:rPr>
              <w:t>3</w:t>
            </w:r>
            <w:r w:rsidRPr="00A43702">
              <w:rPr>
                <w:rFonts w:ascii="Arial" w:hAnsi="Arial" w:cs="Arial"/>
                <w:sz w:val="20"/>
                <w:szCs w:val="20"/>
              </w:rPr>
              <w:t xml:space="preserve"> </w:t>
            </w:r>
          </w:p>
        </w:tc>
        <w:tc>
          <w:tcPr>
            <w:tcW w:w="1158" w:type="dxa"/>
            <w:tcBorders>
              <w:top w:val="single" w:sz="4" w:space="0" w:color="auto"/>
              <w:bottom w:val="single" w:sz="4" w:space="0" w:color="auto"/>
            </w:tcBorders>
            <w:vAlign w:val="bottom"/>
          </w:tcPr>
          <w:p w14:paraId="2FEFF6B6"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28.</w:t>
            </w:r>
            <w:r>
              <w:rPr>
                <w:rFonts w:ascii="Arial" w:hAnsi="Arial" w:cs="Arial"/>
                <w:sz w:val="20"/>
                <w:szCs w:val="20"/>
              </w:rPr>
              <w:t>3</w:t>
            </w:r>
          </w:p>
        </w:tc>
      </w:tr>
      <w:tr w:rsidR="008C676E" w:rsidRPr="006160B8" w14:paraId="214AEE22" w14:textId="77777777" w:rsidTr="00AB1DC6">
        <w:trPr>
          <w:trHeight w:val="283"/>
        </w:trPr>
        <w:tc>
          <w:tcPr>
            <w:tcW w:w="5123" w:type="dxa"/>
            <w:tcBorders>
              <w:top w:val="single" w:sz="4" w:space="0" w:color="auto"/>
            </w:tcBorders>
            <w:vAlign w:val="center"/>
          </w:tcPr>
          <w:p w14:paraId="440BAA2D"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Acquisition and disposal costs (including strategic review costs)</w:t>
            </w:r>
          </w:p>
        </w:tc>
        <w:tc>
          <w:tcPr>
            <w:tcW w:w="1157" w:type="dxa"/>
            <w:tcBorders>
              <w:top w:val="single" w:sz="4" w:space="0" w:color="auto"/>
            </w:tcBorders>
            <w:vAlign w:val="bottom"/>
          </w:tcPr>
          <w:p w14:paraId="0E8C50E6" w14:textId="77777777" w:rsidR="008C676E" w:rsidRPr="00A43702" w:rsidRDefault="008C676E" w:rsidP="00AB1DC6">
            <w:pPr>
              <w:jc w:val="right"/>
              <w:rPr>
                <w:rFonts w:ascii="Arial" w:eastAsia="Times New Roman" w:hAnsi="Arial" w:cs="Arial"/>
                <w:color w:val="000000"/>
                <w:sz w:val="20"/>
                <w:szCs w:val="20"/>
              </w:rPr>
            </w:pPr>
          </w:p>
        </w:tc>
        <w:tc>
          <w:tcPr>
            <w:tcW w:w="1157" w:type="dxa"/>
            <w:tcBorders>
              <w:top w:val="single" w:sz="4" w:space="0" w:color="auto"/>
            </w:tcBorders>
            <w:vAlign w:val="bottom"/>
          </w:tcPr>
          <w:p w14:paraId="38084526"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(2.7)</w:t>
            </w:r>
          </w:p>
        </w:tc>
        <w:tc>
          <w:tcPr>
            <w:tcW w:w="1157" w:type="dxa"/>
            <w:tcBorders>
              <w:top w:val="single" w:sz="4" w:space="0" w:color="auto"/>
            </w:tcBorders>
            <w:vAlign w:val="bottom"/>
          </w:tcPr>
          <w:p w14:paraId="3051821F" w14:textId="77777777" w:rsidR="008C676E" w:rsidRPr="00A43702" w:rsidRDefault="008C676E" w:rsidP="00AB1DC6">
            <w:pPr>
              <w:jc w:val="right"/>
              <w:rPr>
                <w:rFonts w:ascii="Arial" w:hAnsi="Arial" w:cs="Arial"/>
                <w:sz w:val="20"/>
                <w:szCs w:val="20"/>
              </w:rPr>
            </w:pPr>
          </w:p>
        </w:tc>
        <w:tc>
          <w:tcPr>
            <w:tcW w:w="1158" w:type="dxa"/>
            <w:tcBorders>
              <w:top w:val="single" w:sz="4" w:space="0" w:color="auto"/>
            </w:tcBorders>
            <w:vAlign w:val="bottom"/>
          </w:tcPr>
          <w:p w14:paraId="41F9A565"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(1.3)</w:t>
            </w:r>
          </w:p>
        </w:tc>
      </w:tr>
      <w:tr w:rsidR="008C676E" w:rsidRPr="006160B8" w14:paraId="6D70BBC3" w14:textId="77777777" w:rsidTr="00AB1DC6">
        <w:trPr>
          <w:trHeight w:val="283"/>
        </w:trPr>
        <w:tc>
          <w:tcPr>
            <w:tcW w:w="5123" w:type="dxa"/>
            <w:vAlign w:val="center"/>
          </w:tcPr>
          <w:p w14:paraId="529E4B0B"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Restructuring costs</w:t>
            </w:r>
          </w:p>
        </w:tc>
        <w:tc>
          <w:tcPr>
            <w:tcW w:w="1157" w:type="dxa"/>
            <w:vAlign w:val="bottom"/>
          </w:tcPr>
          <w:p w14:paraId="1DB1C3C8" w14:textId="77777777" w:rsidR="008C676E" w:rsidRPr="00A43702" w:rsidRDefault="008C676E" w:rsidP="00AB1DC6">
            <w:pPr>
              <w:jc w:val="right"/>
              <w:rPr>
                <w:rFonts w:ascii="Arial" w:eastAsia="Times New Roman" w:hAnsi="Arial" w:cs="Arial"/>
                <w:color w:val="000000"/>
                <w:sz w:val="20"/>
                <w:szCs w:val="20"/>
              </w:rPr>
            </w:pPr>
          </w:p>
        </w:tc>
        <w:tc>
          <w:tcPr>
            <w:tcW w:w="1157" w:type="dxa"/>
            <w:vAlign w:val="bottom"/>
          </w:tcPr>
          <w:p w14:paraId="47B0A0E1"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(3.6)</w:t>
            </w:r>
          </w:p>
        </w:tc>
        <w:tc>
          <w:tcPr>
            <w:tcW w:w="1157" w:type="dxa"/>
            <w:vAlign w:val="bottom"/>
          </w:tcPr>
          <w:p w14:paraId="5E18ADAE" w14:textId="77777777" w:rsidR="008C676E" w:rsidRPr="00A43702" w:rsidRDefault="008C676E" w:rsidP="00AB1DC6">
            <w:pPr>
              <w:jc w:val="right"/>
              <w:rPr>
                <w:rFonts w:ascii="Arial" w:hAnsi="Arial" w:cs="Arial"/>
                <w:sz w:val="20"/>
                <w:szCs w:val="20"/>
              </w:rPr>
            </w:pPr>
          </w:p>
        </w:tc>
        <w:tc>
          <w:tcPr>
            <w:tcW w:w="1158" w:type="dxa"/>
            <w:vAlign w:val="bottom"/>
          </w:tcPr>
          <w:p w14:paraId="73CBD329"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(5.9)</w:t>
            </w:r>
          </w:p>
        </w:tc>
      </w:tr>
      <w:tr w:rsidR="008C676E" w:rsidRPr="006160B8" w14:paraId="7603BF4A" w14:textId="77777777" w:rsidTr="00AB1DC6">
        <w:trPr>
          <w:trHeight w:val="283"/>
        </w:trPr>
        <w:tc>
          <w:tcPr>
            <w:tcW w:w="5123" w:type="dxa"/>
            <w:vAlign w:val="center"/>
          </w:tcPr>
          <w:p w14:paraId="18E00906"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Amortisation of acqu</w:t>
            </w:r>
            <w:r>
              <w:rPr>
                <w:rFonts w:ascii="Arial" w:eastAsia="Times New Roman" w:hAnsi="Arial" w:cs="Arial"/>
                <w:color w:val="000000"/>
                <w:sz w:val="20"/>
                <w:szCs w:val="20"/>
              </w:rPr>
              <w:t>ired</w:t>
            </w:r>
            <w:r w:rsidRPr="00A43702">
              <w:rPr>
                <w:rFonts w:ascii="Arial" w:eastAsia="Times New Roman" w:hAnsi="Arial" w:cs="Arial"/>
                <w:color w:val="000000"/>
                <w:sz w:val="20"/>
                <w:szCs w:val="20"/>
              </w:rPr>
              <w:t xml:space="preserve"> intangibles</w:t>
            </w:r>
          </w:p>
        </w:tc>
        <w:tc>
          <w:tcPr>
            <w:tcW w:w="1157" w:type="dxa"/>
            <w:vAlign w:val="bottom"/>
          </w:tcPr>
          <w:p w14:paraId="65C6F548" w14:textId="77777777" w:rsidR="008C676E" w:rsidRPr="00A43702" w:rsidRDefault="008C676E" w:rsidP="00AB1DC6">
            <w:pPr>
              <w:jc w:val="right"/>
              <w:rPr>
                <w:rFonts w:ascii="Arial" w:eastAsia="Times New Roman" w:hAnsi="Arial" w:cs="Arial"/>
                <w:color w:val="000000"/>
                <w:sz w:val="20"/>
                <w:szCs w:val="20"/>
              </w:rPr>
            </w:pPr>
          </w:p>
        </w:tc>
        <w:tc>
          <w:tcPr>
            <w:tcW w:w="1157" w:type="dxa"/>
            <w:vAlign w:val="bottom"/>
          </w:tcPr>
          <w:p w14:paraId="1CBCBDA6"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(12.</w:t>
            </w:r>
            <w:r>
              <w:rPr>
                <w:rFonts w:ascii="Arial" w:hAnsi="Arial" w:cs="Arial"/>
                <w:b/>
                <w:bCs/>
                <w:sz w:val="20"/>
                <w:szCs w:val="20"/>
              </w:rPr>
              <w:t>4</w:t>
            </w:r>
            <w:r w:rsidRPr="00A43702">
              <w:rPr>
                <w:rFonts w:ascii="Arial" w:hAnsi="Arial" w:cs="Arial"/>
                <w:b/>
                <w:bCs/>
                <w:sz w:val="20"/>
                <w:szCs w:val="20"/>
              </w:rPr>
              <w:t>)</w:t>
            </w:r>
          </w:p>
        </w:tc>
        <w:tc>
          <w:tcPr>
            <w:tcW w:w="1157" w:type="dxa"/>
            <w:vAlign w:val="bottom"/>
          </w:tcPr>
          <w:p w14:paraId="0FC451C3" w14:textId="77777777" w:rsidR="008C676E" w:rsidRPr="00A43702" w:rsidRDefault="008C676E" w:rsidP="00AB1DC6">
            <w:pPr>
              <w:jc w:val="right"/>
              <w:rPr>
                <w:rFonts w:ascii="Arial" w:hAnsi="Arial" w:cs="Arial"/>
                <w:sz w:val="20"/>
                <w:szCs w:val="20"/>
              </w:rPr>
            </w:pPr>
          </w:p>
        </w:tc>
        <w:tc>
          <w:tcPr>
            <w:tcW w:w="1158" w:type="dxa"/>
            <w:vAlign w:val="bottom"/>
          </w:tcPr>
          <w:p w14:paraId="7981721D"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(11.8)</w:t>
            </w:r>
          </w:p>
        </w:tc>
      </w:tr>
      <w:tr w:rsidR="008C676E" w:rsidRPr="006160B8" w14:paraId="39E82FE0" w14:textId="77777777" w:rsidTr="00AB1DC6">
        <w:trPr>
          <w:trHeight w:val="283"/>
        </w:trPr>
        <w:tc>
          <w:tcPr>
            <w:tcW w:w="5123" w:type="dxa"/>
            <w:vAlign w:val="center"/>
          </w:tcPr>
          <w:p w14:paraId="08CE645C" w14:textId="16D140BA"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Fair value</w:t>
            </w:r>
            <w:r w:rsidR="007D74AB">
              <w:rPr>
                <w:rFonts w:ascii="Arial" w:eastAsia="Times New Roman" w:hAnsi="Arial" w:cs="Arial"/>
                <w:color w:val="000000"/>
                <w:sz w:val="20"/>
                <w:szCs w:val="20"/>
              </w:rPr>
              <w:t xml:space="preserve"> </w:t>
            </w:r>
            <w:r w:rsidRPr="00A43702">
              <w:rPr>
                <w:rFonts w:ascii="Arial" w:eastAsia="Times New Roman" w:hAnsi="Arial" w:cs="Arial"/>
                <w:color w:val="000000"/>
                <w:sz w:val="20"/>
                <w:szCs w:val="20"/>
              </w:rPr>
              <w:t>(losses) in contingent consideration and acquisition related incentive schemes</w:t>
            </w:r>
          </w:p>
        </w:tc>
        <w:tc>
          <w:tcPr>
            <w:tcW w:w="1157" w:type="dxa"/>
            <w:vAlign w:val="bottom"/>
          </w:tcPr>
          <w:p w14:paraId="70ECD53E" w14:textId="77777777" w:rsidR="008C676E" w:rsidRPr="00A43702" w:rsidRDefault="008C676E" w:rsidP="00AB1DC6">
            <w:pPr>
              <w:jc w:val="right"/>
              <w:rPr>
                <w:rFonts w:ascii="Arial" w:eastAsia="Times New Roman" w:hAnsi="Arial" w:cs="Arial"/>
                <w:color w:val="000000"/>
                <w:sz w:val="20"/>
                <w:szCs w:val="20"/>
              </w:rPr>
            </w:pPr>
          </w:p>
        </w:tc>
        <w:tc>
          <w:tcPr>
            <w:tcW w:w="1157" w:type="dxa"/>
            <w:vAlign w:val="bottom"/>
          </w:tcPr>
          <w:p w14:paraId="48BD91BA"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w:t>
            </w:r>
            <w:r w:rsidRPr="00A43702">
              <w:rPr>
                <w:rFonts w:ascii="Arial" w:hAnsi="Arial" w:cs="Arial"/>
                <w:b/>
                <w:bCs/>
                <w:sz w:val="20"/>
                <w:szCs w:val="20"/>
              </w:rPr>
              <w:t xml:space="preserve"> </w:t>
            </w:r>
          </w:p>
        </w:tc>
        <w:tc>
          <w:tcPr>
            <w:tcW w:w="1157" w:type="dxa"/>
            <w:vAlign w:val="bottom"/>
          </w:tcPr>
          <w:p w14:paraId="2B8C5D1F" w14:textId="77777777" w:rsidR="008C676E" w:rsidRPr="00A43702" w:rsidRDefault="008C676E" w:rsidP="00AB1DC6">
            <w:pPr>
              <w:jc w:val="right"/>
              <w:rPr>
                <w:rFonts w:ascii="Arial" w:hAnsi="Arial" w:cs="Arial"/>
                <w:sz w:val="20"/>
                <w:szCs w:val="20"/>
              </w:rPr>
            </w:pPr>
          </w:p>
        </w:tc>
        <w:tc>
          <w:tcPr>
            <w:tcW w:w="1158" w:type="dxa"/>
            <w:vAlign w:val="bottom"/>
          </w:tcPr>
          <w:p w14:paraId="42DD2BDA"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(6.2)</w:t>
            </w:r>
          </w:p>
        </w:tc>
      </w:tr>
      <w:tr w:rsidR="008C676E" w:rsidRPr="006160B8" w14:paraId="4C445566" w14:textId="77777777" w:rsidTr="00AB1DC6">
        <w:trPr>
          <w:trHeight w:val="283"/>
        </w:trPr>
        <w:tc>
          <w:tcPr>
            <w:tcW w:w="5123" w:type="dxa"/>
            <w:tcBorders>
              <w:top w:val="single" w:sz="4" w:space="0" w:color="auto"/>
            </w:tcBorders>
            <w:vAlign w:val="center"/>
          </w:tcPr>
          <w:p w14:paraId="1B816A83"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Operating profit</w:t>
            </w:r>
          </w:p>
        </w:tc>
        <w:tc>
          <w:tcPr>
            <w:tcW w:w="1157" w:type="dxa"/>
            <w:tcBorders>
              <w:top w:val="single" w:sz="4" w:space="0" w:color="auto"/>
            </w:tcBorders>
            <w:vAlign w:val="bottom"/>
          </w:tcPr>
          <w:p w14:paraId="4EDFD7AA" w14:textId="77777777" w:rsidR="008C676E" w:rsidRPr="00A43702" w:rsidRDefault="008C676E" w:rsidP="00AB1DC6">
            <w:pPr>
              <w:jc w:val="right"/>
              <w:rPr>
                <w:rFonts w:ascii="Arial" w:eastAsia="Times New Roman" w:hAnsi="Arial" w:cs="Arial"/>
                <w:color w:val="000000"/>
                <w:sz w:val="20"/>
                <w:szCs w:val="20"/>
              </w:rPr>
            </w:pPr>
          </w:p>
        </w:tc>
        <w:tc>
          <w:tcPr>
            <w:tcW w:w="1157" w:type="dxa"/>
            <w:tcBorders>
              <w:top w:val="single" w:sz="4" w:space="0" w:color="auto"/>
            </w:tcBorders>
            <w:vAlign w:val="bottom"/>
          </w:tcPr>
          <w:p w14:paraId="7C6177CF"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14.6</w:t>
            </w:r>
            <w:r w:rsidRPr="00A43702">
              <w:rPr>
                <w:rFonts w:ascii="Arial" w:hAnsi="Arial" w:cs="Arial"/>
                <w:b/>
                <w:bCs/>
                <w:sz w:val="20"/>
                <w:szCs w:val="20"/>
              </w:rPr>
              <w:t xml:space="preserve"> </w:t>
            </w:r>
          </w:p>
        </w:tc>
        <w:tc>
          <w:tcPr>
            <w:tcW w:w="1157" w:type="dxa"/>
            <w:tcBorders>
              <w:top w:val="single" w:sz="4" w:space="0" w:color="auto"/>
            </w:tcBorders>
            <w:vAlign w:val="bottom"/>
          </w:tcPr>
          <w:p w14:paraId="423E4559" w14:textId="77777777" w:rsidR="008C676E" w:rsidRPr="00A43702" w:rsidRDefault="008C676E" w:rsidP="00AB1DC6">
            <w:pPr>
              <w:jc w:val="right"/>
              <w:rPr>
                <w:rFonts w:ascii="Arial" w:hAnsi="Arial" w:cs="Arial"/>
                <w:sz w:val="20"/>
                <w:szCs w:val="20"/>
              </w:rPr>
            </w:pPr>
          </w:p>
        </w:tc>
        <w:tc>
          <w:tcPr>
            <w:tcW w:w="1158" w:type="dxa"/>
            <w:tcBorders>
              <w:top w:val="single" w:sz="4" w:space="0" w:color="auto"/>
            </w:tcBorders>
            <w:vAlign w:val="bottom"/>
          </w:tcPr>
          <w:p w14:paraId="69F738A1" w14:textId="77777777" w:rsidR="008C676E" w:rsidRPr="00A43702" w:rsidRDefault="008C676E" w:rsidP="00AB1DC6">
            <w:pPr>
              <w:jc w:val="right"/>
              <w:rPr>
                <w:rFonts w:ascii="Arial" w:hAnsi="Arial" w:cs="Arial"/>
                <w:sz w:val="20"/>
                <w:szCs w:val="20"/>
              </w:rPr>
            </w:pPr>
            <w:r>
              <w:rPr>
                <w:rFonts w:ascii="Arial" w:hAnsi="Arial" w:cs="Arial"/>
                <w:sz w:val="20"/>
                <w:szCs w:val="20"/>
              </w:rPr>
              <w:t>3.1</w:t>
            </w:r>
            <w:r w:rsidRPr="00A43702">
              <w:rPr>
                <w:rFonts w:ascii="Arial" w:hAnsi="Arial" w:cs="Arial"/>
                <w:sz w:val="20"/>
                <w:szCs w:val="20"/>
              </w:rPr>
              <w:t xml:space="preserve"> </w:t>
            </w:r>
          </w:p>
        </w:tc>
      </w:tr>
      <w:tr w:rsidR="008C676E" w:rsidRPr="006160B8" w14:paraId="13F2B931" w14:textId="77777777" w:rsidTr="00AB1DC6">
        <w:trPr>
          <w:trHeight w:val="283"/>
        </w:trPr>
        <w:tc>
          <w:tcPr>
            <w:tcW w:w="5123" w:type="dxa"/>
            <w:vAlign w:val="center"/>
          </w:tcPr>
          <w:p w14:paraId="748D0CE2"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Finance costs</w:t>
            </w:r>
          </w:p>
        </w:tc>
        <w:tc>
          <w:tcPr>
            <w:tcW w:w="1157" w:type="dxa"/>
            <w:vAlign w:val="bottom"/>
          </w:tcPr>
          <w:p w14:paraId="62342A58" w14:textId="77777777" w:rsidR="008C676E" w:rsidRPr="00A43702" w:rsidRDefault="008C676E" w:rsidP="00AB1DC6">
            <w:pPr>
              <w:jc w:val="right"/>
              <w:rPr>
                <w:rFonts w:ascii="Arial" w:eastAsia="Times New Roman" w:hAnsi="Arial" w:cs="Arial"/>
                <w:color w:val="000000"/>
                <w:sz w:val="20"/>
                <w:szCs w:val="20"/>
              </w:rPr>
            </w:pPr>
          </w:p>
        </w:tc>
        <w:tc>
          <w:tcPr>
            <w:tcW w:w="1157" w:type="dxa"/>
            <w:vAlign w:val="bottom"/>
          </w:tcPr>
          <w:p w14:paraId="06494FB5"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(6.8)</w:t>
            </w:r>
          </w:p>
        </w:tc>
        <w:tc>
          <w:tcPr>
            <w:tcW w:w="1157" w:type="dxa"/>
            <w:vAlign w:val="bottom"/>
          </w:tcPr>
          <w:p w14:paraId="45838F25" w14:textId="77777777" w:rsidR="008C676E" w:rsidRPr="00A43702" w:rsidRDefault="008C676E" w:rsidP="00AB1DC6">
            <w:pPr>
              <w:jc w:val="right"/>
              <w:rPr>
                <w:rFonts w:ascii="Arial" w:hAnsi="Arial" w:cs="Arial"/>
                <w:sz w:val="20"/>
                <w:szCs w:val="20"/>
              </w:rPr>
            </w:pPr>
          </w:p>
        </w:tc>
        <w:tc>
          <w:tcPr>
            <w:tcW w:w="1158" w:type="dxa"/>
            <w:vAlign w:val="bottom"/>
          </w:tcPr>
          <w:p w14:paraId="631767B7"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(3.8)</w:t>
            </w:r>
          </w:p>
        </w:tc>
      </w:tr>
      <w:tr w:rsidR="008C676E" w:rsidRPr="006160B8" w14:paraId="41B5C979" w14:textId="77777777" w:rsidTr="00AB1DC6">
        <w:trPr>
          <w:trHeight w:val="283"/>
        </w:trPr>
        <w:tc>
          <w:tcPr>
            <w:tcW w:w="5123" w:type="dxa"/>
            <w:vAlign w:val="center"/>
          </w:tcPr>
          <w:p w14:paraId="61B73AE1"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Exceptional finance costs</w:t>
            </w:r>
          </w:p>
        </w:tc>
        <w:tc>
          <w:tcPr>
            <w:tcW w:w="1157" w:type="dxa"/>
            <w:vAlign w:val="bottom"/>
          </w:tcPr>
          <w:p w14:paraId="4D5ABEC7" w14:textId="77777777" w:rsidR="008C676E" w:rsidRPr="00A43702" w:rsidRDefault="008C676E" w:rsidP="00AB1DC6">
            <w:pPr>
              <w:jc w:val="right"/>
              <w:rPr>
                <w:rFonts w:ascii="Arial" w:eastAsia="Times New Roman" w:hAnsi="Arial" w:cs="Arial"/>
                <w:color w:val="000000"/>
                <w:sz w:val="20"/>
                <w:szCs w:val="20"/>
              </w:rPr>
            </w:pPr>
          </w:p>
        </w:tc>
        <w:tc>
          <w:tcPr>
            <w:tcW w:w="1157" w:type="dxa"/>
            <w:vAlign w:val="bottom"/>
          </w:tcPr>
          <w:p w14:paraId="2D55A77E" w14:textId="77777777"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1.8</w:t>
            </w:r>
            <w:r w:rsidRPr="00A43702">
              <w:rPr>
                <w:rFonts w:ascii="Arial" w:hAnsi="Arial" w:cs="Arial"/>
                <w:b/>
                <w:bCs/>
                <w:sz w:val="20"/>
                <w:szCs w:val="20"/>
              </w:rPr>
              <w:t>)</w:t>
            </w:r>
          </w:p>
        </w:tc>
        <w:tc>
          <w:tcPr>
            <w:tcW w:w="1157" w:type="dxa"/>
            <w:vAlign w:val="bottom"/>
          </w:tcPr>
          <w:p w14:paraId="4A076663" w14:textId="77777777" w:rsidR="008C676E" w:rsidRPr="00A43702" w:rsidRDefault="008C676E" w:rsidP="00AB1DC6">
            <w:pPr>
              <w:jc w:val="right"/>
              <w:rPr>
                <w:rFonts w:ascii="Arial" w:hAnsi="Arial" w:cs="Arial"/>
                <w:sz w:val="20"/>
                <w:szCs w:val="20"/>
              </w:rPr>
            </w:pPr>
          </w:p>
        </w:tc>
        <w:tc>
          <w:tcPr>
            <w:tcW w:w="1158" w:type="dxa"/>
            <w:vAlign w:val="bottom"/>
          </w:tcPr>
          <w:p w14:paraId="18EFC719"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(1.7)</w:t>
            </w:r>
          </w:p>
        </w:tc>
      </w:tr>
      <w:tr w:rsidR="008C676E" w:rsidRPr="006160B8" w14:paraId="21C513C5" w14:textId="77777777" w:rsidTr="00AB1DC6">
        <w:trPr>
          <w:trHeight w:val="283"/>
        </w:trPr>
        <w:tc>
          <w:tcPr>
            <w:tcW w:w="5123" w:type="dxa"/>
            <w:tcBorders>
              <w:top w:val="single" w:sz="4" w:space="0" w:color="auto"/>
            </w:tcBorders>
            <w:vAlign w:val="center"/>
          </w:tcPr>
          <w:p w14:paraId="75FEF40E"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Profit</w:t>
            </w:r>
            <w:r>
              <w:rPr>
                <w:rFonts w:ascii="Arial" w:eastAsia="Times New Roman" w:hAnsi="Arial" w:cs="Arial"/>
                <w:color w:val="000000"/>
                <w:sz w:val="20"/>
                <w:szCs w:val="20"/>
              </w:rPr>
              <w:t>/(loss)</w:t>
            </w:r>
            <w:r w:rsidRPr="00A43702">
              <w:rPr>
                <w:rFonts w:ascii="Arial" w:eastAsia="Times New Roman" w:hAnsi="Arial" w:cs="Arial"/>
                <w:color w:val="000000"/>
                <w:sz w:val="20"/>
                <w:szCs w:val="20"/>
              </w:rPr>
              <w:t xml:space="preserve"> before tax</w:t>
            </w:r>
          </w:p>
        </w:tc>
        <w:tc>
          <w:tcPr>
            <w:tcW w:w="1157" w:type="dxa"/>
            <w:tcBorders>
              <w:top w:val="single" w:sz="4" w:space="0" w:color="auto"/>
            </w:tcBorders>
            <w:vAlign w:val="bottom"/>
          </w:tcPr>
          <w:p w14:paraId="50E5B9C4" w14:textId="77777777" w:rsidR="008C676E" w:rsidRPr="00A43702" w:rsidRDefault="008C676E" w:rsidP="00AB1DC6">
            <w:pPr>
              <w:jc w:val="right"/>
              <w:rPr>
                <w:rFonts w:ascii="Arial" w:eastAsia="Times New Roman" w:hAnsi="Arial" w:cs="Arial"/>
                <w:color w:val="000000"/>
                <w:sz w:val="20"/>
                <w:szCs w:val="20"/>
              </w:rPr>
            </w:pPr>
          </w:p>
        </w:tc>
        <w:tc>
          <w:tcPr>
            <w:tcW w:w="1157" w:type="dxa"/>
            <w:tcBorders>
              <w:top w:val="single" w:sz="4" w:space="0" w:color="auto"/>
            </w:tcBorders>
            <w:vAlign w:val="bottom"/>
          </w:tcPr>
          <w:p w14:paraId="181477A3"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6</w:t>
            </w:r>
            <w:r w:rsidRPr="00A43702">
              <w:rPr>
                <w:rFonts w:ascii="Arial" w:hAnsi="Arial" w:cs="Arial"/>
                <w:b/>
                <w:bCs/>
                <w:sz w:val="20"/>
                <w:szCs w:val="20"/>
              </w:rPr>
              <w:t xml:space="preserve">.0 </w:t>
            </w:r>
          </w:p>
        </w:tc>
        <w:tc>
          <w:tcPr>
            <w:tcW w:w="1157" w:type="dxa"/>
            <w:tcBorders>
              <w:top w:val="single" w:sz="4" w:space="0" w:color="auto"/>
            </w:tcBorders>
            <w:vAlign w:val="bottom"/>
          </w:tcPr>
          <w:p w14:paraId="643E5D1D" w14:textId="77777777" w:rsidR="008C676E" w:rsidRPr="00A43702" w:rsidRDefault="008C676E" w:rsidP="00AB1DC6">
            <w:pPr>
              <w:jc w:val="right"/>
              <w:rPr>
                <w:rFonts w:ascii="Arial" w:hAnsi="Arial" w:cs="Arial"/>
                <w:sz w:val="20"/>
                <w:szCs w:val="20"/>
              </w:rPr>
            </w:pPr>
          </w:p>
        </w:tc>
        <w:tc>
          <w:tcPr>
            <w:tcW w:w="1158" w:type="dxa"/>
            <w:tcBorders>
              <w:top w:val="single" w:sz="4" w:space="0" w:color="auto"/>
            </w:tcBorders>
            <w:vAlign w:val="bottom"/>
          </w:tcPr>
          <w:p w14:paraId="47870484" w14:textId="74ACD358" w:rsidR="008C676E" w:rsidRPr="00A43702" w:rsidRDefault="008C676E" w:rsidP="00AB1DC6">
            <w:pPr>
              <w:jc w:val="right"/>
              <w:rPr>
                <w:rFonts w:ascii="Arial" w:hAnsi="Arial" w:cs="Arial"/>
                <w:sz w:val="20"/>
                <w:szCs w:val="20"/>
              </w:rPr>
            </w:pPr>
            <w:r w:rsidRPr="00A43702">
              <w:rPr>
                <w:rFonts w:ascii="Arial" w:hAnsi="Arial" w:cs="Arial"/>
                <w:sz w:val="20"/>
                <w:szCs w:val="20"/>
              </w:rPr>
              <w:t>(2.</w:t>
            </w:r>
            <w:r w:rsidR="008D05A6">
              <w:rPr>
                <w:rFonts w:ascii="Arial" w:hAnsi="Arial" w:cs="Arial"/>
                <w:sz w:val="20"/>
                <w:szCs w:val="20"/>
              </w:rPr>
              <w:t>4</w:t>
            </w:r>
            <w:r w:rsidRPr="00A43702">
              <w:rPr>
                <w:rFonts w:ascii="Arial" w:hAnsi="Arial" w:cs="Arial"/>
                <w:sz w:val="20"/>
                <w:szCs w:val="20"/>
              </w:rPr>
              <w:t>)</w:t>
            </w:r>
          </w:p>
        </w:tc>
      </w:tr>
      <w:tr w:rsidR="008C676E" w:rsidRPr="006160B8" w14:paraId="23543ECB" w14:textId="77777777" w:rsidTr="00F72BA1">
        <w:trPr>
          <w:trHeight w:val="283"/>
        </w:trPr>
        <w:tc>
          <w:tcPr>
            <w:tcW w:w="5123" w:type="dxa"/>
            <w:tcBorders>
              <w:bottom w:val="single" w:sz="4" w:space="0" w:color="auto"/>
            </w:tcBorders>
            <w:vAlign w:val="center"/>
          </w:tcPr>
          <w:p w14:paraId="209441E9"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 xml:space="preserve">Tax </w:t>
            </w:r>
            <w:r>
              <w:rPr>
                <w:rFonts w:ascii="Arial" w:eastAsia="Times New Roman" w:hAnsi="Arial" w:cs="Arial"/>
                <w:color w:val="000000"/>
                <w:sz w:val="20"/>
                <w:szCs w:val="20"/>
              </w:rPr>
              <w:t>(</w:t>
            </w:r>
            <w:r w:rsidRPr="00A43702">
              <w:rPr>
                <w:rFonts w:ascii="Arial" w:eastAsia="Times New Roman" w:hAnsi="Arial" w:cs="Arial"/>
                <w:color w:val="000000"/>
                <w:sz w:val="20"/>
                <w:szCs w:val="20"/>
              </w:rPr>
              <w:t>charge</w:t>
            </w:r>
            <w:r>
              <w:rPr>
                <w:rFonts w:ascii="Arial" w:eastAsia="Times New Roman" w:hAnsi="Arial" w:cs="Arial"/>
                <w:color w:val="000000"/>
                <w:sz w:val="20"/>
                <w:szCs w:val="20"/>
              </w:rPr>
              <w:t>)/credit</w:t>
            </w:r>
          </w:p>
        </w:tc>
        <w:tc>
          <w:tcPr>
            <w:tcW w:w="1157" w:type="dxa"/>
            <w:tcBorders>
              <w:bottom w:val="single" w:sz="4" w:space="0" w:color="auto"/>
            </w:tcBorders>
            <w:vAlign w:val="bottom"/>
          </w:tcPr>
          <w:p w14:paraId="72B15D36" w14:textId="77777777" w:rsidR="008C676E" w:rsidRPr="00A43702" w:rsidRDefault="008C676E" w:rsidP="00AB1DC6">
            <w:pPr>
              <w:jc w:val="right"/>
              <w:rPr>
                <w:rFonts w:ascii="Arial" w:eastAsia="Times New Roman" w:hAnsi="Arial" w:cs="Arial"/>
                <w:color w:val="000000"/>
                <w:sz w:val="20"/>
                <w:szCs w:val="20"/>
              </w:rPr>
            </w:pPr>
          </w:p>
        </w:tc>
        <w:tc>
          <w:tcPr>
            <w:tcW w:w="1157" w:type="dxa"/>
            <w:tcBorders>
              <w:bottom w:val="single" w:sz="4" w:space="0" w:color="auto"/>
            </w:tcBorders>
            <w:vAlign w:val="bottom"/>
          </w:tcPr>
          <w:p w14:paraId="1951CB18"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(2.5)</w:t>
            </w:r>
            <w:r w:rsidRPr="00A43702">
              <w:rPr>
                <w:rFonts w:ascii="Arial" w:hAnsi="Arial" w:cs="Arial"/>
                <w:b/>
                <w:bCs/>
                <w:sz w:val="20"/>
                <w:szCs w:val="20"/>
              </w:rPr>
              <w:t xml:space="preserve"> </w:t>
            </w:r>
          </w:p>
        </w:tc>
        <w:tc>
          <w:tcPr>
            <w:tcW w:w="1157" w:type="dxa"/>
            <w:tcBorders>
              <w:bottom w:val="single" w:sz="4" w:space="0" w:color="auto"/>
            </w:tcBorders>
            <w:vAlign w:val="bottom"/>
          </w:tcPr>
          <w:p w14:paraId="71E90F8A" w14:textId="77777777" w:rsidR="008C676E" w:rsidRPr="00A43702" w:rsidRDefault="008C676E" w:rsidP="00AB1DC6">
            <w:pPr>
              <w:jc w:val="right"/>
              <w:rPr>
                <w:rFonts w:ascii="Arial" w:hAnsi="Arial" w:cs="Arial"/>
                <w:sz w:val="20"/>
                <w:szCs w:val="20"/>
              </w:rPr>
            </w:pPr>
          </w:p>
        </w:tc>
        <w:tc>
          <w:tcPr>
            <w:tcW w:w="1158" w:type="dxa"/>
            <w:tcBorders>
              <w:bottom w:val="single" w:sz="4" w:space="0" w:color="auto"/>
            </w:tcBorders>
            <w:vAlign w:val="bottom"/>
          </w:tcPr>
          <w:p w14:paraId="15060757"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0.</w:t>
            </w:r>
            <w:r>
              <w:rPr>
                <w:rFonts w:ascii="Arial" w:hAnsi="Arial" w:cs="Arial"/>
                <w:sz w:val="20"/>
                <w:szCs w:val="20"/>
              </w:rPr>
              <w:t>3</w:t>
            </w:r>
            <w:r w:rsidRPr="00A43702">
              <w:rPr>
                <w:rFonts w:ascii="Arial" w:hAnsi="Arial" w:cs="Arial"/>
                <w:sz w:val="20"/>
                <w:szCs w:val="20"/>
              </w:rPr>
              <w:t xml:space="preserve"> </w:t>
            </w:r>
          </w:p>
        </w:tc>
      </w:tr>
      <w:tr w:rsidR="008C676E" w:rsidRPr="006160B8" w14:paraId="2DC75F59" w14:textId="77777777" w:rsidTr="00F72BA1">
        <w:trPr>
          <w:trHeight w:val="283"/>
        </w:trPr>
        <w:tc>
          <w:tcPr>
            <w:tcW w:w="5123" w:type="dxa"/>
            <w:tcBorders>
              <w:top w:val="single" w:sz="4" w:space="0" w:color="auto"/>
              <w:bottom w:val="single" w:sz="4" w:space="0" w:color="auto"/>
            </w:tcBorders>
            <w:vAlign w:val="center"/>
          </w:tcPr>
          <w:p w14:paraId="71F9AF56"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Profit</w:t>
            </w:r>
            <w:r>
              <w:rPr>
                <w:rFonts w:ascii="Arial" w:eastAsia="Times New Roman" w:hAnsi="Arial" w:cs="Arial"/>
                <w:color w:val="000000"/>
                <w:sz w:val="20"/>
                <w:szCs w:val="20"/>
              </w:rPr>
              <w:t>/(loss)</w:t>
            </w:r>
            <w:r w:rsidRPr="00A43702">
              <w:rPr>
                <w:rFonts w:ascii="Arial" w:eastAsia="Times New Roman" w:hAnsi="Arial" w:cs="Arial"/>
                <w:color w:val="000000"/>
                <w:sz w:val="20"/>
                <w:szCs w:val="20"/>
              </w:rPr>
              <w:t xml:space="preserve"> after tax</w:t>
            </w:r>
          </w:p>
        </w:tc>
        <w:tc>
          <w:tcPr>
            <w:tcW w:w="1157" w:type="dxa"/>
            <w:tcBorders>
              <w:top w:val="single" w:sz="4" w:space="0" w:color="auto"/>
              <w:bottom w:val="single" w:sz="4" w:space="0" w:color="auto"/>
            </w:tcBorders>
            <w:vAlign w:val="bottom"/>
          </w:tcPr>
          <w:p w14:paraId="12C85BEC" w14:textId="77777777" w:rsidR="008C676E" w:rsidRPr="00A43702" w:rsidRDefault="008C676E" w:rsidP="00AB1DC6">
            <w:pPr>
              <w:jc w:val="right"/>
              <w:rPr>
                <w:rFonts w:ascii="Arial" w:eastAsia="Times New Roman" w:hAnsi="Arial" w:cs="Arial"/>
                <w:color w:val="000000"/>
                <w:sz w:val="20"/>
                <w:szCs w:val="20"/>
              </w:rPr>
            </w:pPr>
          </w:p>
        </w:tc>
        <w:tc>
          <w:tcPr>
            <w:tcW w:w="1157" w:type="dxa"/>
            <w:tcBorders>
              <w:top w:val="single" w:sz="4" w:space="0" w:color="auto"/>
              <w:bottom w:val="single" w:sz="4" w:space="0" w:color="auto"/>
            </w:tcBorders>
            <w:vAlign w:val="bottom"/>
          </w:tcPr>
          <w:p w14:paraId="2B7B32F2"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3.5</w:t>
            </w:r>
            <w:r w:rsidRPr="00A43702">
              <w:rPr>
                <w:rFonts w:ascii="Arial" w:hAnsi="Arial" w:cs="Arial"/>
                <w:b/>
                <w:bCs/>
                <w:sz w:val="20"/>
                <w:szCs w:val="20"/>
              </w:rPr>
              <w:t xml:space="preserve"> </w:t>
            </w:r>
          </w:p>
        </w:tc>
        <w:tc>
          <w:tcPr>
            <w:tcW w:w="1157" w:type="dxa"/>
            <w:tcBorders>
              <w:top w:val="single" w:sz="4" w:space="0" w:color="auto"/>
              <w:bottom w:val="single" w:sz="4" w:space="0" w:color="auto"/>
            </w:tcBorders>
            <w:vAlign w:val="bottom"/>
          </w:tcPr>
          <w:p w14:paraId="305E28F5" w14:textId="77777777" w:rsidR="008C676E" w:rsidRPr="00A43702" w:rsidRDefault="008C676E" w:rsidP="00AB1DC6">
            <w:pPr>
              <w:jc w:val="right"/>
              <w:rPr>
                <w:rFonts w:ascii="Arial" w:hAnsi="Arial" w:cs="Arial"/>
                <w:sz w:val="20"/>
                <w:szCs w:val="20"/>
              </w:rPr>
            </w:pPr>
          </w:p>
        </w:tc>
        <w:tc>
          <w:tcPr>
            <w:tcW w:w="1158" w:type="dxa"/>
            <w:tcBorders>
              <w:top w:val="single" w:sz="4" w:space="0" w:color="auto"/>
              <w:bottom w:val="single" w:sz="4" w:space="0" w:color="auto"/>
            </w:tcBorders>
            <w:vAlign w:val="bottom"/>
          </w:tcPr>
          <w:p w14:paraId="27561DF1"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w:t>
            </w:r>
            <w:r>
              <w:rPr>
                <w:rFonts w:ascii="Arial" w:hAnsi="Arial" w:cs="Arial"/>
                <w:sz w:val="20"/>
                <w:szCs w:val="20"/>
              </w:rPr>
              <w:t>2.1</w:t>
            </w:r>
            <w:r w:rsidRPr="00A43702">
              <w:rPr>
                <w:rFonts w:ascii="Arial" w:hAnsi="Arial" w:cs="Arial"/>
                <w:sz w:val="20"/>
                <w:szCs w:val="20"/>
              </w:rPr>
              <w:t>)</w:t>
            </w:r>
          </w:p>
        </w:tc>
      </w:tr>
      <w:tr w:rsidR="008C676E" w:rsidRPr="006160B8" w14:paraId="19DA8DB7" w14:textId="77777777" w:rsidTr="00F72BA1">
        <w:trPr>
          <w:trHeight w:val="283"/>
        </w:trPr>
        <w:tc>
          <w:tcPr>
            <w:tcW w:w="5123" w:type="dxa"/>
            <w:tcBorders>
              <w:top w:val="single" w:sz="4" w:space="0" w:color="auto"/>
            </w:tcBorders>
            <w:vAlign w:val="center"/>
          </w:tcPr>
          <w:p w14:paraId="54A1A708" w14:textId="77777777" w:rsidR="008C676E" w:rsidRPr="00A43702" w:rsidRDefault="008C676E" w:rsidP="00AB1DC6">
            <w:pPr>
              <w:rPr>
                <w:rFonts w:ascii="Arial" w:eastAsia="Times New Roman" w:hAnsi="Arial" w:cs="Arial"/>
                <w:color w:val="000000"/>
                <w:sz w:val="20"/>
                <w:szCs w:val="20"/>
              </w:rPr>
            </w:pPr>
          </w:p>
        </w:tc>
        <w:tc>
          <w:tcPr>
            <w:tcW w:w="1157" w:type="dxa"/>
            <w:tcBorders>
              <w:top w:val="single" w:sz="4" w:space="0" w:color="auto"/>
            </w:tcBorders>
            <w:vAlign w:val="bottom"/>
          </w:tcPr>
          <w:p w14:paraId="5891C59B" w14:textId="77777777" w:rsidR="008C676E" w:rsidRPr="00A43702" w:rsidRDefault="008C676E" w:rsidP="00AB1DC6">
            <w:pPr>
              <w:jc w:val="right"/>
              <w:rPr>
                <w:rFonts w:ascii="Arial" w:hAnsi="Arial" w:cs="Arial"/>
                <w:sz w:val="20"/>
                <w:szCs w:val="20"/>
              </w:rPr>
            </w:pPr>
          </w:p>
        </w:tc>
        <w:tc>
          <w:tcPr>
            <w:tcW w:w="1157" w:type="dxa"/>
            <w:tcBorders>
              <w:top w:val="single" w:sz="4" w:space="0" w:color="auto"/>
            </w:tcBorders>
            <w:vAlign w:val="bottom"/>
          </w:tcPr>
          <w:p w14:paraId="6B56B422" w14:textId="77777777" w:rsidR="008C676E" w:rsidRPr="00A43702" w:rsidRDefault="008C676E" w:rsidP="00AB1DC6">
            <w:pPr>
              <w:jc w:val="right"/>
              <w:rPr>
                <w:rFonts w:ascii="Arial" w:hAnsi="Arial" w:cs="Arial"/>
                <w:sz w:val="20"/>
                <w:szCs w:val="20"/>
              </w:rPr>
            </w:pPr>
          </w:p>
        </w:tc>
        <w:tc>
          <w:tcPr>
            <w:tcW w:w="1157" w:type="dxa"/>
            <w:tcBorders>
              <w:top w:val="single" w:sz="4" w:space="0" w:color="auto"/>
            </w:tcBorders>
            <w:vAlign w:val="bottom"/>
          </w:tcPr>
          <w:p w14:paraId="78495A9C" w14:textId="77777777" w:rsidR="008C676E" w:rsidRPr="00A43702" w:rsidRDefault="008C676E" w:rsidP="00AB1DC6">
            <w:pPr>
              <w:jc w:val="right"/>
              <w:rPr>
                <w:rFonts w:ascii="Arial" w:hAnsi="Arial" w:cs="Arial"/>
                <w:sz w:val="20"/>
                <w:szCs w:val="20"/>
              </w:rPr>
            </w:pPr>
          </w:p>
        </w:tc>
        <w:tc>
          <w:tcPr>
            <w:tcW w:w="1158" w:type="dxa"/>
            <w:tcBorders>
              <w:top w:val="single" w:sz="4" w:space="0" w:color="auto"/>
            </w:tcBorders>
            <w:vAlign w:val="bottom"/>
          </w:tcPr>
          <w:p w14:paraId="3125FFFE" w14:textId="77777777" w:rsidR="008C676E" w:rsidRPr="00A43702" w:rsidRDefault="008C676E" w:rsidP="00AB1DC6">
            <w:pPr>
              <w:jc w:val="right"/>
              <w:rPr>
                <w:rFonts w:ascii="Arial" w:hAnsi="Arial" w:cs="Arial"/>
                <w:sz w:val="20"/>
                <w:szCs w:val="20"/>
              </w:rPr>
            </w:pPr>
          </w:p>
        </w:tc>
      </w:tr>
      <w:tr w:rsidR="008C676E" w:rsidRPr="006160B8" w14:paraId="0CD5B185" w14:textId="77777777" w:rsidTr="00AB1DC6">
        <w:trPr>
          <w:trHeight w:val="283"/>
        </w:trPr>
        <w:tc>
          <w:tcPr>
            <w:tcW w:w="5123" w:type="dxa"/>
            <w:vAlign w:val="center"/>
          </w:tcPr>
          <w:p w14:paraId="707B622B"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Segment assets</w:t>
            </w:r>
          </w:p>
        </w:tc>
        <w:tc>
          <w:tcPr>
            <w:tcW w:w="1157" w:type="dxa"/>
            <w:vAlign w:val="bottom"/>
          </w:tcPr>
          <w:p w14:paraId="487210C5" w14:textId="77777777" w:rsidR="008C676E" w:rsidRPr="00A43702" w:rsidRDefault="008C676E" w:rsidP="00AB1DC6">
            <w:pPr>
              <w:jc w:val="right"/>
              <w:rPr>
                <w:rFonts w:ascii="Arial" w:hAnsi="Arial" w:cs="Arial"/>
                <w:b/>
                <w:bCs/>
                <w:sz w:val="20"/>
                <w:szCs w:val="20"/>
              </w:rPr>
            </w:pPr>
            <w:r>
              <w:rPr>
                <w:rFonts w:ascii="Arial" w:hAnsi="Arial" w:cs="Arial"/>
                <w:b/>
                <w:bCs/>
                <w:sz w:val="20"/>
                <w:szCs w:val="20"/>
              </w:rPr>
              <w:t>398.2</w:t>
            </w:r>
            <w:r w:rsidRPr="00A43702">
              <w:rPr>
                <w:rFonts w:ascii="Arial" w:hAnsi="Arial" w:cs="Arial"/>
                <w:b/>
                <w:bCs/>
                <w:sz w:val="20"/>
                <w:szCs w:val="20"/>
              </w:rPr>
              <w:t xml:space="preserve"> </w:t>
            </w:r>
          </w:p>
        </w:tc>
        <w:tc>
          <w:tcPr>
            <w:tcW w:w="1157" w:type="dxa"/>
            <w:vAlign w:val="bottom"/>
          </w:tcPr>
          <w:p w14:paraId="5AFA26DD" w14:textId="77777777" w:rsidR="008C676E" w:rsidRPr="00A43702" w:rsidRDefault="008C676E" w:rsidP="00AB1DC6">
            <w:pPr>
              <w:jc w:val="right"/>
              <w:rPr>
                <w:rFonts w:ascii="Arial" w:eastAsia="Times New Roman" w:hAnsi="Arial" w:cs="Arial"/>
                <w:color w:val="000000"/>
                <w:sz w:val="20"/>
                <w:szCs w:val="20"/>
              </w:rPr>
            </w:pPr>
            <w:r>
              <w:rPr>
                <w:rFonts w:ascii="Arial" w:hAnsi="Arial" w:cs="Arial"/>
                <w:b/>
                <w:bCs/>
                <w:sz w:val="20"/>
                <w:szCs w:val="20"/>
              </w:rPr>
              <w:t>398.2</w:t>
            </w:r>
            <w:r w:rsidRPr="00A43702">
              <w:rPr>
                <w:rFonts w:ascii="Arial" w:hAnsi="Arial" w:cs="Arial"/>
                <w:b/>
                <w:bCs/>
                <w:sz w:val="20"/>
                <w:szCs w:val="20"/>
              </w:rPr>
              <w:t xml:space="preserve"> </w:t>
            </w:r>
          </w:p>
        </w:tc>
        <w:tc>
          <w:tcPr>
            <w:tcW w:w="1157" w:type="dxa"/>
            <w:vAlign w:val="bottom"/>
          </w:tcPr>
          <w:p w14:paraId="49B1C932"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 xml:space="preserve">85.2 </w:t>
            </w:r>
          </w:p>
        </w:tc>
        <w:tc>
          <w:tcPr>
            <w:tcW w:w="1158" w:type="dxa"/>
            <w:vAlign w:val="bottom"/>
          </w:tcPr>
          <w:p w14:paraId="448065FF" w14:textId="77777777" w:rsidR="008C676E" w:rsidRPr="00A43702" w:rsidRDefault="008C676E" w:rsidP="00AB1DC6">
            <w:pPr>
              <w:jc w:val="right"/>
              <w:rPr>
                <w:rFonts w:ascii="Arial" w:eastAsia="Times New Roman" w:hAnsi="Arial" w:cs="Arial"/>
                <w:color w:val="000000"/>
                <w:sz w:val="20"/>
                <w:szCs w:val="20"/>
              </w:rPr>
            </w:pPr>
            <w:r w:rsidRPr="00A43702">
              <w:rPr>
                <w:rFonts w:ascii="Arial" w:hAnsi="Arial" w:cs="Arial"/>
                <w:sz w:val="20"/>
                <w:szCs w:val="20"/>
              </w:rPr>
              <w:t xml:space="preserve">85.2 </w:t>
            </w:r>
          </w:p>
        </w:tc>
      </w:tr>
      <w:tr w:rsidR="008C676E" w:rsidRPr="006160B8" w14:paraId="6E042C55" w14:textId="77777777" w:rsidTr="00AB1DC6">
        <w:trPr>
          <w:trHeight w:val="283"/>
        </w:trPr>
        <w:tc>
          <w:tcPr>
            <w:tcW w:w="5123" w:type="dxa"/>
            <w:vAlign w:val="center"/>
          </w:tcPr>
          <w:p w14:paraId="7D07F289"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color w:val="000000"/>
                <w:sz w:val="20"/>
                <w:szCs w:val="20"/>
              </w:rPr>
              <w:t>Segment liabilities</w:t>
            </w:r>
          </w:p>
        </w:tc>
        <w:tc>
          <w:tcPr>
            <w:tcW w:w="1157" w:type="dxa"/>
            <w:vAlign w:val="bottom"/>
          </w:tcPr>
          <w:p w14:paraId="34F06CF4" w14:textId="7463C501" w:rsidR="008C676E" w:rsidRPr="00A43702" w:rsidRDefault="008C676E" w:rsidP="00AB1DC6">
            <w:pPr>
              <w:jc w:val="right"/>
              <w:rPr>
                <w:rFonts w:ascii="Arial" w:hAnsi="Arial" w:cs="Arial"/>
                <w:b/>
                <w:bCs/>
                <w:sz w:val="20"/>
                <w:szCs w:val="20"/>
              </w:rPr>
            </w:pPr>
            <w:r w:rsidRPr="00A43702">
              <w:rPr>
                <w:rFonts w:ascii="Arial" w:hAnsi="Arial" w:cs="Arial"/>
                <w:b/>
                <w:bCs/>
                <w:sz w:val="20"/>
                <w:szCs w:val="20"/>
              </w:rPr>
              <w:t>(</w:t>
            </w:r>
            <w:r>
              <w:rPr>
                <w:rFonts w:ascii="Arial" w:hAnsi="Arial" w:cs="Arial"/>
                <w:b/>
                <w:bCs/>
                <w:sz w:val="20"/>
                <w:szCs w:val="20"/>
              </w:rPr>
              <w:t>8</w:t>
            </w:r>
            <w:r w:rsidR="00D559E2">
              <w:rPr>
                <w:rFonts w:ascii="Arial" w:hAnsi="Arial" w:cs="Arial"/>
                <w:b/>
                <w:bCs/>
                <w:sz w:val="20"/>
                <w:szCs w:val="20"/>
              </w:rPr>
              <w:t>2</w:t>
            </w:r>
            <w:r>
              <w:rPr>
                <w:rFonts w:ascii="Arial" w:hAnsi="Arial" w:cs="Arial"/>
                <w:b/>
                <w:bCs/>
                <w:sz w:val="20"/>
                <w:szCs w:val="20"/>
              </w:rPr>
              <w:t>.</w:t>
            </w:r>
            <w:r w:rsidR="00D559E2">
              <w:rPr>
                <w:rFonts w:ascii="Arial" w:hAnsi="Arial" w:cs="Arial"/>
                <w:b/>
                <w:bCs/>
                <w:sz w:val="20"/>
                <w:szCs w:val="20"/>
              </w:rPr>
              <w:t>3</w:t>
            </w:r>
            <w:r w:rsidRPr="00A43702">
              <w:rPr>
                <w:rFonts w:ascii="Arial" w:hAnsi="Arial" w:cs="Arial"/>
                <w:b/>
                <w:bCs/>
                <w:sz w:val="20"/>
                <w:szCs w:val="20"/>
              </w:rPr>
              <w:t>)</w:t>
            </w:r>
          </w:p>
        </w:tc>
        <w:tc>
          <w:tcPr>
            <w:tcW w:w="1157" w:type="dxa"/>
            <w:vAlign w:val="bottom"/>
          </w:tcPr>
          <w:p w14:paraId="069097CC" w14:textId="68E6A0E6" w:rsidR="008C676E" w:rsidRPr="00A43702" w:rsidRDefault="008C676E" w:rsidP="00AB1DC6">
            <w:pPr>
              <w:jc w:val="right"/>
              <w:rPr>
                <w:rFonts w:ascii="Arial" w:eastAsia="Times New Roman" w:hAnsi="Arial" w:cs="Arial"/>
                <w:color w:val="000000"/>
                <w:sz w:val="20"/>
                <w:szCs w:val="20"/>
              </w:rPr>
            </w:pPr>
            <w:r w:rsidRPr="00A43702">
              <w:rPr>
                <w:rFonts w:ascii="Arial" w:hAnsi="Arial" w:cs="Arial"/>
                <w:b/>
                <w:bCs/>
                <w:sz w:val="20"/>
                <w:szCs w:val="20"/>
              </w:rPr>
              <w:t>(</w:t>
            </w:r>
            <w:r>
              <w:rPr>
                <w:rFonts w:ascii="Arial" w:hAnsi="Arial" w:cs="Arial"/>
                <w:b/>
                <w:bCs/>
                <w:sz w:val="20"/>
                <w:szCs w:val="20"/>
              </w:rPr>
              <w:t>8</w:t>
            </w:r>
            <w:r w:rsidR="00D559E2">
              <w:rPr>
                <w:rFonts w:ascii="Arial" w:hAnsi="Arial" w:cs="Arial"/>
                <w:b/>
                <w:bCs/>
                <w:sz w:val="20"/>
                <w:szCs w:val="20"/>
              </w:rPr>
              <w:t>2</w:t>
            </w:r>
            <w:r>
              <w:rPr>
                <w:rFonts w:ascii="Arial" w:hAnsi="Arial" w:cs="Arial"/>
                <w:b/>
                <w:bCs/>
                <w:sz w:val="20"/>
                <w:szCs w:val="20"/>
              </w:rPr>
              <w:t>.</w:t>
            </w:r>
            <w:r w:rsidR="00D559E2">
              <w:rPr>
                <w:rFonts w:ascii="Arial" w:hAnsi="Arial" w:cs="Arial"/>
                <w:b/>
                <w:bCs/>
                <w:sz w:val="20"/>
                <w:szCs w:val="20"/>
              </w:rPr>
              <w:t>3</w:t>
            </w:r>
            <w:r w:rsidRPr="00A43702">
              <w:rPr>
                <w:rFonts w:ascii="Arial" w:hAnsi="Arial" w:cs="Arial"/>
                <w:b/>
                <w:bCs/>
                <w:sz w:val="20"/>
                <w:szCs w:val="20"/>
              </w:rPr>
              <w:t>)</w:t>
            </w:r>
          </w:p>
        </w:tc>
        <w:tc>
          <w:tcPr>
            <w:tcW w:w="1157" w:type="dxa"/>
            <w:vAlign w:val="bottom"/>
          </w:tcPr>
          <w:p w14:paraId="741C27B3" w14:textId="77777777" w:rsidR="008C676E" w:rsidRPr="00A43702" w:rsidRDefault="008C676E" w:rsidP="00AB1DC6">
            <w:pPr>
              <w:jc w:val="right"/>
              <w:rPr>
                <w:rFonts w:ascii="Arial" w:hAnsi="Arial" w:cs="Arial"/>
                <w:sz w:val="20"/>
                <w:szCs w:val="20"/>
              </w:rPr>
            </w:pPr>
            <w:r w:rsidRPr="00A43702">
              <w:rPr>
                <w:rFonts w:ascii="Arial" w:hAnsi="Arial" w:cs="Arial"/>
                <w:sz w:val="20"/>
                <w:szCs w:val="20"/>
              </w:rPr>
              <w:t>(42.6)</w:t>
            </w:r>
          </w:p>
        </w:tc>
        <w:tc>
          <w:tcPr>
            <w:tcW w:w="1158" w:type="dxa"/>
            <w:vAlign w:val="bottom"/>
          </w:tcPr>
          <w:p w14:paraId="772BFFE0" w14:textId="77777777" w:rsidR="008C676E" w:rsidRPr="00A43702" w:rsidRDefault="008C676E" w:rsidP="00AB1DC6">
            <w:pPr>
              <w:jc w:val="right"/>
              <w:rPr>
                <w:rFonts w:ascii="Arial" w:eastAsia="Times New Roman" w:hAnsi="Arial" w:cs="Arial"/>
                <w:color w:val="000000"/>
                <w:sz w:val="20"/>
                <w:szCs w:val="20"/>
              </w:rPr>
            </w:pPr>
            <w:r w:rsidRPr="00A43702">
              <w:rPr>
                <w:rFonts w:ascii="Arial" w:hAnsi="Arial" w:cs="Arial"/>
                <w:sz w:val="20"/>
                <w:szCs w:val="20"/>
              </w:rPr>
              <w:t>(42.6)</w:t>
            </w:r>
          </w:p>
        </w:tc>
      </w:tr>
      <w:tr w:rsidR="008C676E" w:rsidRPr="006160B8" w14:paraId="01F4F423" w14:textId="77777777" w:rsidTr="00AB1DC6">
        <w:trPr>
          <w:trHeight w:val="283"/>
        </w:trPr>
        <w:tc>
          <w:tcPr>
            <w:tcW w:w="5123" w:type="dxa"/>
            <w:vAlign w:val="center"/>
          </w:tcPr>
          <w:p w14:paraId="3125B1BD" w14:textId="77777777" w:rsidR="008C676E" w:rsidRPr="00555EBB" w:rsidRDefault="008C676E" w:rsidP="00AB1DC6">
            <w:pPr>
              <w:rPr>
                <w:rFonts w:ascii="Arial" w:eastAsia="Times New Roman" w:hAnsi="Arial" w:cs="Arial"/>
                <w:color w:val="000000"/>
                <w:sz w:val="20"/>
                <w:szCs w:val="20"/>
              </w:rPr>
            </w:pPr>
            <w:r w:rsidRPr="00555EBB">
              <w:rPr>
                <w:rFonts w:ascii="Arial" w:eastAsia="Times New Roman" w:hAnsi="Arial" w:cs="Arial"/>
                <w:color w:val="000000"/>
                <w:sz w:val="20"/>
                <w:szCs w:val="20"/>
              </w:rPr>
              <w:t>Capital expenditure</w:t>
            </w:r>
          </w:p>
        </w:tc>
        <w:tc>
          <w:tcPr>
            <w:tcW w:w="1157" w:type="dxa"/>
            <w:vAlign w:val="bottom"/>
          </w:tcPr>
          <w:p w14:paraId="0E20790E" w14:textId="77777777" w:rsidR="008C676E" w:rsidRPr="00555EBB" w:rsidRDefault="008C676E" w:rsidP="00AB1DC6">
            <w:pPr>
              <w:jc w:val="right"/>
              <w:rPr>
                <w:rFonts w:ascii="Arial" w:hAnsi="Arial" w:cs="Arial"/>
                <w:b/>
                <w:bCs/>
                <w:sz w:val="20"/>
                <w:szCs w:val="20"/>
              </w:rPr>
            </w:pPr>
            <w:r w:rsidRPr="00555EBB">
              <w:rPr>
                <w:rFonts w:ascii="Arial" w:hAnsi="Arial" w:cs="Arial"/>
                <w:b/>
                <w:bCs/>
                <w:sz w:val="20"/>
                <w:szCs w:val="20"/>
              </w:rPr>
              <w:t>(7.6)</w:t>
            </w:r>
          </w:p>
        </w:tc>
        <w:tc>
          <w:tcPr>
            <w:tcW w:w="1157" w:type="dxa"/>
            <w:vAlign w:val="bottom"/>
          </w:tcPr>
          <w:p w14:paraId="0ED0B5F3" w14:textId="77777777" w:rsidR="008C676E" w:rsidRPr="00555EBB" w:rsidRDefault="008C676E" w:rsidP="00AB1DC6">
            <w:pPr>
              <w:jc w:val="right"/>
              <w:rPr>
                <w:rFonts w:ascii="Arial" w:eastAsia="Times New Roman" w:hAnsi="Arial" w:cs="Arial"/>
                <w:color w:val="000000"/>
                <w:sz w:val="20"/>
                <w:szCs w:val="20"/>
              </w:rPr>
            </w:pPr>
            <w:r w:rsidRPr="00555EBB">
              <w:rPr>
                <w:rFonts w:ascii="Arial" w:hAnsi="Arial" w:cs="Arial"/>
                <w:b/>
                <w:bCs/>
                <w:sz w:val="20"/>
                <w:szCs w:val="20"/>
              </w:rPr>
              <w:t>(7.6)</w:t>
            </w:r>
          </w:p>
        </w:tc>
        <w:tc>
          <w:tcPr>
            <w:tcW w:w="1157" w:type="dxa"/>
            <w:vAlign w:val="bottom"/>
          </w:tcPr>
          <w:p w14:paraId="77E0F707" w14:textId="77777777" w:rsidR="008C676E" w:rsidRPr="00555EBB" w:rsidRDefault="008C676E" w:rsidP="00AB1DC6">
            <w:pPr>
              <w:jc w:val="right"/>
              <w:rPr>
                <w:rFonts w:ascii="Arial" w:hAnsi="Arial" w:cs="Arial"/>
                <w:sz w:val="20"/>
                <w:szCs w:val="20"/>
              </w:rPr>
            </w:pPr>
            <w:r w:rsidRPr="00555EBB">
              <w:rPr>
                <w:rFonts w:ascii="Arial" w:hAnsi="Arial" w:cs="Arial"/>
                <w:sz w:val="20"/>
                <w:szCs w:val="20"/>
              </w:rPr>
              <w:t>(9.4)</w:t>
            </w:r>
          </w:p>
        </w:tc>
        <w:tc>
          <w:tcPr>
            <w:tcW w:w="1158" w:type="dxa"/>
            <w:vAlign w:val="bottom"/>
          </w:tcPr>
          <w:p w14:paraId="0C71B9E3" w14:textId="77777777" w:rsidR="008C676E" w:rsidRPr="00555EBB" w:rsidRDefault="008C676E" w:rsidP="00AB1DC6">
            <w:pPr>
              <w:jc w:val="right"/>
              <w:rPr>
                <w:rFonts w:ascii="Arial" w:eastAsia="Times New Roman" w:hAnsi="Arial" w:cs="Arial"/>
                <w:color w:val="000000"/>
                <w:sz w:val="20"/>
                <w:szCs w:val="20"/>
              </w:rPr>
            </w:pPr>
            <w:r w:rsidRPr="00555EBB">
              <w:rPr>
                <w:rFonts w:ascii="Arial" w:hAnsi="Arial" w:cs="Arial"/>
                <w:sz w:val="20"/>
                <w:szCs w:val="20"/>
              </w:rPr>
              <w:t>(9.4)</w:t>
            </w:r>
          </w:p>
        </w:tc>
      </w:tr>
      <w:tr w:rsidR="008C676E" w:rsidRPr="006160B8" w14:paraId="1EC338EF" w14:textId="77777777" w:rsidTr="00AB1DC6">
        <w:trPr>
          <w:trHeight w:val="283"/>
        </w:trPr>
        <w:tc>
          <w:tcPr>
            <w:tcW w:w="5123" w:type="dxa"/>
            <w:tcBorders>
              <w:bottom w:val="double" w:sz="4" w:space="0" w:color="auto"/>
            </w:tcBorders>
            <w:vAlign w:val="center"/>
          </w:tcPr>
          <w:p w14:paraId="2D469ECF" w14:textId="77777777" w:rsidR="008C676E" w:rsidRPr="00555EBB" w:rsidRDefault="008C676E" w:rsidP="00AB1DC6">
            <w:pPr>
              <w:rPr>
                <w:rFonts w:ascii="Arial" w:eastAsia="Times New Roman" w:hAnsi="Arial" w:cs="Arial"/>
                <w:color w:val="000000"/>
                <w:sz w:val="20"/>
                <w:szCs w:val="20"/>
              </w:rPr>
            </w:pPr>
            <w:r w:rsidRPr="00555EBB">
              <w:rPr>
                <w:rFonts w:ascii="Arial" w:eastAsia="Times New Roman" w:hAnsi="Arial" w:cs="Arial"/>
                <w:color w:val="000000"/>
                <w:sz w:val="20"/>
                <w:szCs w:val="20"/>
              </w:rPr>
              <w:t>Depreciation and amortisation</w:t>
            </w:r>
          </w:p>
        </w:tc>
        <w:tc>
          <w:tcPr>
            <w:tcW w:w="1157" w:type="dxa"/>
            <w:tcBorders>
              <w:bottom w:val="double" w:sz="4" w:space="0" w:color="auto"/>
            </w:tcBorders>
            <w:vAlign w:val="bottom"/>
          </w:tcPr>
          <w:p w14:paraId="0947389B" w14:textId="72B792E2" w:rsidR="008C676E" w:rsidRPr="00555EBB" w:rsidRDefault="008C676E" w:rsidP="00AB1DC6">
            <w:pPr>
              <w:jc w:val="right"/>
              <w:rPr>
                <w:rFonts w:ascii="Arial" w:hAnsi="Arial" w:cs="Arial"/>
                <w:b/>
                <w:bCs/>
                <w:sz w:val="20"/>
                <w:szCs w:val="20"/>
              </w:rPr>
            </w:pPr>
            <w:r w:rsidRPr="00555EBB">
              <w:rPr>
                <w:rFonts w:ascii="Arial" w:hAnsi="Arial" w:cs="Arial"/>
                <w:b/>
                <w:bCs/>
                <w:sz w:val="20"/>
                <w:szCs w:val="20"/>
              </w:rPr>
              <w:t>(16.</w:t>
            </w:r>
            <w:r w:rsidR="00D559E2">
              <w:rPr>
                <w:rFonts w:ascii="Arial" w:hAnsi="Arial" w:cs="Arial"/>
                <w:b/>
                <w:bCs/>
                <w:sz w:val="20"/>
                <w:szCs w:val="20"/>
              </w:rPr>
              <w:t>4</w:t>
            </w:r>
            <w:r w:rsidRPr="00555EBB">
              <w:rPr>
                <w:rFonts w:ascii="Arial" w:hAnsi="Arial" w:cs="Arial"/>
                <w:b/>
                <w:bCs/>
                <w:sz w:val="20"/>
                <w:szCs w:val="20"/>
              </w:rPr>
              <w:t>)</w:t>
            </w:r>
          </w:p>
        </w:tc>
        <w:tc>
          <w:tcPr>
            <w:tcW w:w="1157" w:type="dxa"/>
            <w:tcBorders>
              <w:bottom w:val="double" w:sz="4" w:space="0" w:color="auto"/>
            </w:tcBorders>
            <w:vAlign w:val="bottom"/>
          </w:tcPr>
          <w:p w14:paraId="0C534EC7" w14:textId="078AE78F" w:rsidR="008C676E" w:rsidRPr="00555EBB" w:rsidRDefault="008C676E" w:rsidP="00AB1DC6">
            <w:pPr>
              <w:jc w:val="right"/>
              <w:rPr>
                <w:rFonts w:ascii="Arial" w:eastAsia="Times New Roman" w:hAnsi="Arial" w:cs="Arial"/>
                <w:color w:val="000000"/>
                <w:sz w:val="20"/>
                <w:szCs w:val="20"/>
              </w:rPr>
            </w:pPr>
            <w:r w:rsidRPr="00555EBB">
              <w:rPr>
                <w:rFonts w:ascii="Arial" w:hAnsi="Arial" w:cs="Arial"/>
                <w:b/>
                <w:bCs/>
                <w:sz w:val="20"/>
                <w:szCs w:val="20"/>
              </w:rPr>
              <w:t>(16.</w:t>
            </w:r>
            <w:r w:rsidR="00D559E2">
              <w:rPr>
                <w:rFonts w:ascii="Arial" w:hAnsi="Arial" w:cs="Arial"/>
                <w:b/>
                <w:bCs/>
                <w:sz w:val="20"/>
                <w:szCs w:val="20"/>
              </w:rPr>
              <w:t>4</w:t>
            </w:r>
            <w:r w:rsidRPr="00555EBB">
              <w:rPr>
                <w:rFonts w:ascii="Arial" w:hAnsi="Arial" w:cs="Arial"/>
                <w:b/>
                <w:bCs/>
                <w:sz w:val="20"/>
                <w:szCs w:val="20"/>
              </w:rPr>
              <w:t>)</w:t>
            </w:r>
          </w:p>
        </w:tc>
        <w:tc>
          <w:tcPr>
            <w:tcW w:w="1157" w:type="dxa"/>
            <w:tcBorders>
              <w:bottom w:val="double" w:sz="4" w:space="0" w:color="auto"/>
            </w:tcBorders>
            <w:vAlign w:val="bottom"/>
          </w:tcPr>
          <w:p w14:paraId="7301F22B" w14:textId="77777777" w:rsidR="008C676E" w:rsidRPr="00555EBB" w:rsidRDefault="008C676E" w:rsidP="00AB1DC6">
            <w:pPr>
              <w:jc w:val="right"/>
              <w:rPr>
                <w:rFonts w:ascii="Arial" w:hAnsi="Arial" w:cs="Arial"/>
                <w:sz w:val="20"/>
                <w:szCs w:val="20"/>
              </w:rPr>
            </w:pPr>
            <w:r w:rsidRPr="00555EBB">
              <w:rPr>
                <w:rFonts w:ascii="Arial" w:hAnsi="Arial" w:cs="Arial"/>
                <w:sz w:val="20"/>
                <w:szCs w:val="20"/>
              </w:rPr>
              <w:t>(3.1)</w:t>
            </w:r>
          </w:p>
        </w:tc>
        <w:tc>
          <w:tcPr>
            <w:tcW w:w="1158" w:type="dxa"/>
            <w:tcBorders>
              <w:bottom w:val="double" w:sz="4" w:space="0" w:color="auto"/>
            </w:tcBorders>
            <w:vAlign w:val="bottom"/>
          </w:tcPr>
          <w:p w14:paraId="2CB45F92" w14:textId="77777777" w:rsidR="008C676E" w:rsidRPr="00555EBB" w:rsidRDefault="008C676E" w:rsidP="00AB1DC6">
            <w:pPr>
              <w:jc w:val="right"/>
              <w:rPr>
                <w:rFonts w:ascii="Arial" w:eastAsia="Times New Roman" w:hAnsi="Arial" w:cs="Arial"/>
                <w:color w:val="000000"/>
                <w:sz w:val="20"/>
                <w:szCs w:val="20"/>
              </w:rPr>
            </w:pPr>
            <w:r w:rsidRPr="00555EBB">
              <w:rPr>
                <w:rFonts w:ascii="Arial" w:hAnsi="Arial" w:cs="Arial"/>
                <w:sz w:val="20"/>
                <w:szCs w:val="20"/>
              </w:rPr>
              <w:t>(3.1)</w:t>
            </w:r>
          </w:p>
        </w:tc>
      </w:tr>
    </w:tbl>
    <w:p w14:paraId="426BFAF2" w14:textId="77777777" w:rsidR="008C676E" w:rsidRPr="00A43702" w:rsidRDefault="008C676E" w:rsidP="008C676E">
      <w:pPr>
        <w:spacing w:after="0"/>
        <w:jc w:val="both"/>
        <w:rPr>
          <w:rFonts w:ascii="Arial" w:hAnsi="Arial" w:cs="Arial"/>
          <w:sz w:val="20"/>
          <w:szCs w:val="20"/>
        </w:rPr>
      </w:pPr>
    </w:p>
    <w:p w14:paraId="4386F2C0" w14:textId="77777777" w:rsidR="008C676E" w:rsidRPr="00670B10" w:rsidRDefault="008C676E" w:rsidP="008C676E">
      <w:pPr>
        <w:spacing w:after="0"/>
        <w:jc w:val="both"/>
        <w:rPr>
          <w:rFonts w:ascii="Arial" w:hAnsi="Arial" w:cs="Arial"/>
          <w:sz w:val="20"/>
          <w:szCs w:val="20"/>
          <w:lang w:eastAsia="en-GB"/>
        </w:rPr>
      </w:pPr>
      <w:r w:rsidRPr="00670B10">
        <w:rPr>
          <w:rFonts w:ascii="Arial" w:hAnsi="Arial" w:cs="Arial"/>
          <w:sz w:val="20"/>
          <w:szCs w:val="20"/>
          <w:lang w:eastAsia="en-GB"/>
        </w:rPr>
        <w:t>The revenue from external customers was derived from the Group’s principal activities primarily in the UK (where the Company is domiciled).</w:t>
      </w:r>
      <w:r w:rsidRPr="007D0CA7">
        <w:t xml:space="preserve"> </w:t>
      </w:r>
    </w:p>
    <w:p w14:paraId="2B1B8B9D" w14:textId="77777777" w:rsidR="008C676E" w:rsidRPr="00670B10" w:rsidRDefault="008C676E" w:rsidP="008C676E">
      <w:pPr>
        <w:spacing w:after="0"/>
        <w:jc w:val="both"/>
        <w:rPr>
          <w:rFonts w:ascii="Arial" w:hAnsi="Arial" w:cs="Arial"/>
          <w:sz w:val="20"/>
          <w:szCs w:val="20"/>
          <w:lang w:eastAsia="en-GB"/>
        </w:rPr>
      </w:pPr>
    </w:p>
    <w:p w14:paraId="5AC7D409" w14:textId="77777777" w:rsidR="008C676E" w:rsidRPr="00A43702" w:rsidRDefault="008C676E" w:rsidP="008C676E">
      <w:pPr>
        <w:spacing w:after="0"/>
        <w:jc w:val="both"/>
        <w:rPr>
          <w:rFonts w:ascii="Arial" w:hAnsi="Arial" w:cs="Arial"/>
          <w:b/>
          <w:bCs/>
          <w:sz w:val="20"/>
          <w:szCs w:val="20"/>
          <w:lang w:eastAsia="en-GB"/>
        </w:rPr>
      </w:pPr>
      <w:r w:rsidRPr="00A43702">
        <w:rPr>
          <w:rFonts w:ascii="Arial" w:hAnsi="Arial" w:cs="Arial"/>
          <w:b/>
          <w:bCs/>
          <w:sz w:val="20"/>
          <w:szCs w:val="20"/>
          <w:lang w:eastAsia="en-GB"/>
        </w:rPr>
        <w:t>Reconciliation of segment adjusted operating profit to adjusted EBITDA</w:t>
      </w:r>
    </w:p>
    <w:p w14:paraId="3F1E3A7B" w14:textId="77777777" w:rsidR="008C676E" w:rsidRPr="00A43702" w:rsidRDefault="008C676E" w:rsidP="008C676E">
      <w:pPr>
        <w:spacing w:after="0"/>
        <w:jc w:val="both"/>
        <w:rPr>
          <w:rFonts w:ascii="Arial" w:hAnsi="Arial" w:cs="Arial"/>
          <w:b/>
          <w:bCs/>
          <w:sz w:val="20"/>
          <w:szCs w:val="20"/>
          <w:lang w:eastAsia="en-GB"/>
        </w:rPr>
      </w:pPr>
    </w:p>
    <w:tbl>
      <w:tblPr>
        <w:tblW w:w="9746" w:type="dxa"/>
        <w:tblLayout w:type="fixed"/>
        <w:tblLook w:val="04A0" w:firstRow="1" w:lastRow="0" w:firstColumn="1" w:lastColumn="0" w:noHBand="0" w:noVBand="1"/>
      </w:tblPr>
      <w:tblGrid>
        <w:gridCol w:w="2977"/>
        <w:gridCol w:w="846"/>
        <w:gridCol w:w="846"/>
        <w:gridCol w:w="846"/>
        <w:gridCol w:w="846"/>
        <w:gridCol w:w="846"/>
        <w:gridCol w:w="846"/>
        <w:gridCol w:w="846"/>
        <w:gridCol w:w="847"/>
      </w:tblGrid>
      <w:tr w:rsidR="008C676E" w:rsidRPr="006160B8" w14:paraId="0BF16C2A" w14:textId="77777777" w:rsidTr="00AB1DC6">
        <w:trPr>
          <w:trHeight w:val="283"/>
        </w:trPr>
        <w:tc>
          <w:tcPr>
            <w:tcW w:w="2977" w:type="dxa"/>
            <w:shd w:val="clear" w:color="auto" w:fill="auto"/>
            <w:noWrap/>
            <w:vAlign w:val="bottom"/>
          </w:tcPr>
          <w:p w14:paraId="05B65907" w14:textId="77777777" w:rsidR="008C676E" w:rsidRPr="00A43702" w:rsidRDefault="008C676E" w:rsidP="00AB1DC6">
            <w:pPr>
              <w:spacing w:after="0" w:line="240" w:lineRule="auto"/>
              <w:rPr>
                <w:rFonts w:ascii="Arial" w:eastAsia="Times New Roman" w:hAnsi="Arial" w:cs="Arial"/>
                <w:sz w:val="20"/>
                <w:szCs w:val="20"/>
                <w:lang w:eastAsia="en-GB"/>
              </w:rPr>
            </w:pPr>
          </w:p>
        </w:tc>
        <w:tc>
          <w:tcPr>
            <w:tcW w:w="3384" w:type="dxa"/>
            <w:gridSpan w:val="4"/>
            <w:shd w:val="clear" w:color="auto" w:fill="auto"/>
            <w:vAlign w:val="bottom"/>
          </w:tcPr>
          <w:p w14:paraId="3F821AF0" w14:textId="77777777" w:rsidR="008C676E" w:rsidRPr="00A43702" w:rsidRDefault="008C676E" w:rsidP="00AB1DC6">
            <w:pPr>
              <w:spacing w:after="0" w:line="240" w:lineRule="auto"/>
              <w:jc w:val="center"/>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2024</w:t>
            </w:r>
          </w:p>
        </w:tc>
        <w:tc>
          <w:tcPr>
            <w:tcW w:w="3385" w:type="dxa"/>
            <w:gridSpan w:val="4"/>
            <w:vAlign w:val="bottom"/>
          </w:tcPr>
          <w:p w14:paraId="7D504845" w14:textId="77777777" w:rsidR="008C676E" w:rsidRPr="00A43702" w:rsidRDefault="008C676E" w:rsidP="00AB1DC6">
            <w:pPr>
              <w:spacing w:after="0" w:line="240" w:lineRule="auto"/>
              <w:jc w:val="center"/>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2023</w:t>
            </w:r>
          </w:p>
        </w:tc>
      </w:tr>
      <w:tr w:rsidR="008C676E" w:rsidRPr="006160B8" w14:paraId="2DF2E882" w14:textId="77777777" w:rsidTr="00AB1DC6">
        <w:trPr>
          <w:trHeight w:val="283"/>
        </w:trPr>
        <w:tc>
          <w:tcPr>
            <w:tcW w:w="2977" w:type="dxa"/>
            <w:shd w:val="clear" w:color="auto" w:fill="auto"/>
            <w:noWrap/>
            <w:vAlign w:val="bottom"/>
            <w:hideMark/>
          </w:tcPr>
          <w:p w14:paraId="47CF4CB7" w14:textId="77777777" w:rsidR="008C676E" w:rsidRPr="00A43702" w:rsidRDefault="008C676E" w:rsidP="00AB1DC6">
            <w:pPr>
              <w:spacing w:after="0" w:line="240" w:lineRule="auto"/>
              <w:rPr>
                <w:rFonts w:ascii="Arial" w:eastAsia="Times New Roman" w:hAnsi="Arial" w:cs="Arial"/>
                <w:sz w:val="20"/>
                <w:szCs w:val="20"/>
                <w:lang w:eastAsia="en-GB"/>
              </w:rPr>
            </w:pPr>
          </w:p>
        </w:tc>
        <w:tc>
          <w:tcPr>
            <w:tcW w:w="846" w:type="dxa"/>
            <w:shd w:val="clear" w:color="auto" w:fill="auto"/>
            <w:vAlign w:val="bottom"/>
            <w:hideMark/>
          </w:tcPr>
          <w:p w14:paraId="76BEF0ED"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TIC</w:t>
            </w:r>
          </w:p>
        </w:tc>
        <w:tc>
          <w:tcPr>
            <w:tcW w:w="846" w:type="dxa"/>
            <w:shd w:val="clear" w:color="auto" w:fill="auto"/>
            <w:noWrap/>
            <w:vAlign w:val="bottom"/>
            <w:hideMark/>
          </w:tcPr>
          <w:p w14:paraId="162DBC3F"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OH</w:t>
            </w:r>
          </w:p>
        </w:tc>
        <w:tc>
          <w:tcPr>
            <w:tcW w:w="846" w:type="dxa"/>
            <w:shd w:val="clear" w:color="auto" w:fill="auto"/>
            <w:vAlign w:val="bottom"/>
            <w:hideMark/>
          </w:tcPr>
          <w:p w14:paraId="739B7202"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Head Office</w:t>
            </w:r>
          </w:p>
        </w:tc>
        <w:tc>
          <w:tcPr>
            <w:tcW w:w="846" w:type="dxa"/>
            <w:shd w:val="clear" w:color="auto" w:fill="auto"/>
            <w:noWrap/>
            <w:vAlign w:val="bottom"/>
            <w:hideMark/>
          </w:tcPr>
          <w:p w14:paraId="2D71AE9D"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Total</w:t>
            </w:r>
          </w:p>
        </w:tc>
        <w:tc>
          <w:tcPr>
            <w:tcW w:w="846" w:type="dxa"/>
            <w:vAlign w:val="bottom"/>
          </w:tcPr>
          <w:p w14:paraId="7D44887C"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TIC</w:t>
            </w:r>
          </w:p>
        </w:tc>
        <w:tc>
          <w:tcPr>
            <w:tcW w:w="846" w:type="dxa"/>
            <w:vAlign w:val="bottom"/>
          </w:tcPr>
          <w:p w14:paraId="4934F9E1"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OH</w:t>
            </w:r>
          </w:p>
        </w:tc>
        <w:tc>
          <w:tcPr>
            <w:tcW w:w="846" w:type="dxa"/>
            <w:vAlign w:val="bottom"/>
          </w:tcPr>
          <w:p w14:paraId="1062F7E5"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Head Office</w:t>
            </w:r>
          </w:p>
        </w:tc>
        <w:tc>
          <w:tcPr>
            <w:tcW w:w="847" w:type="dxa"/>
            <w:vAlign w:val="bottom"/>
          </w:tcPr>
          <w:p w14:paraId="3FCCC6C9"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Total</w:t>
            </w:r>
          </w:p>
        </w:tc>
      </w:tr>
      <w:tr w:rsidR="008C676E" w:rsidRPr="006160B8" w14:paraId="7B707534" w14:textId="77777777" w:rsidTr="00AB1DC6">
        <w:trPr>
          <w:trHeight w:val="283"/>
        </w:trPr>
        <w:tc>
          <w:tcPr>
            <w:tcW w:w="2977" w:type="dxa"/>
            <w:tcBorders>
              <w:bottom w:val="single" w:sz="4" w:space="0" w:color="auto"/>
            </w:tcBorders>
            <w:shd w:val="clear" w:color="auto" w:fill="auto"/>
            <w:noWrap/>
            <w:vAlign w:val="bottom"/>
            <w:hideMark/>
          </w:tcPr>
          <w:p w14:paraId="5ACE94BF" w14:textId="77777777" w:rsidR="008C676E" w:rsidRPr="00A43702" w:rsidRDefault="008C676E" w:rsidP="00AB1DC6">
            <w:pPr>
              <w:spacing w:after="0" w:line="240" w:lineRule="auto"/>
              <w:rPr>
                <w:rFonts w:ascii="Arial" w:eastAsia="Times New Roman" w:hAnsi="Arial" w:cs="Arial"/>
                <w:b/>
                <w:bCs/>
                <w:sz w:val="20"/>
                <w:szCs w:val="20"/>
                <w:lang w:eastAsia="en-GB"/>
              </w:rPr>
            </w:pPr>
            <w:r w:rsidRPr="00A43702">
              <w:rPr>
                <w:rFonts w:ascii="Arial" w:eastAsia="Times New Roman" w:hAnsi="Arial" w:cs="Arial"/>
                <w:b/>
                <w:bCs/>
                <w:sz w:val="20"/>
                <w:szCs w:val="20"/>
                <w:lang w:eastAsia="en-GB"/>
              </w:rPr>
              <w:t>Continuing operations</w:t>
            </w:r>
          </w:p>
        </w:tc>
        <w:tc>
          <w:tcPr>
            <w:tcW w:w="846" w:type="dxa"/>
            <w:tcBorders>
              <w:bottom w:val="single" w:sz="4" w:space="0" w:color="auto"/>
            </w:tcBorders>
            <w:shd w:val="clear" w:color="auto" w:fill="auto"/>
            <w:noWrap/>
            <w:vAlign w:val="bottom"/>
            <w:hideMark/>
          </w:tcPr>
          <w:p w14:paraId="422D5534"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£'m</w:t>
            </w:r>
          </w:p>
        </w:tc>
        <w:tc>
          <w:tcPr>
            <w:tcW w:w="846" w:type="dxa"/>
            <w:tcBorders>
              <w:bottom w:val="single" w:sz="4" w:space="0" w:color="auto"/>
            </w:tcBorders>
            <w:shd w:val="clear" w:color="auto" w:fill="auto"/>
            <w:noWrap/>
            <w:vAlign w:val="bottom"/>
            <w:hideMark/>
          </w:tcPr>
          <w:p w14:paraId="602A825B"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£'m</w:t>
            </w:r>
          </w:p>
        </w:tc>
        <w:tc>
          <w:tcPr>
            <w:tcW w:w="846" w:type="dxa"/>
            <w:tcBorders>
              <w:bottom w:val="single" w:sz="4" w:space="0" w:color="auto"/>
            </w:tcBorders>
            <w:shd w:val="clear" w:color="auto" w:fill="auto"/>
            <w:noWrap/>
            <w:vAlign w:val="bottom"/>
            <w:hideMark/>
          </w:tcPr>
          <w:p w14:paraId="59D7CE6D"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£'m</w:t>
            </w:r>
          </w:p>
        </w:tc>
        <w:tc>
          <w:tcPr>
            <w:tcW w:w="846" w:type="dxa"/>
            <w:tcBorders>
              <w:bottom w:val="single" w:sz="4" w:space="0" w:color="auto"/>
            </w:tcBorders>
            <w:shd w:val="clear" w:color="auto" w:fill="auto"/>
            <w:noWrap/>
            <w:vAlign w:val="bottom"/>
            <w:hideMark/>
          </w:tcPr>
          <w:p w14:paraId="4716FE9E"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£'m</w:t>
            </w:r>
          </w:p>
        </w:tc>
        <w:tc>
          <w:tcPr>
            <w:tcW w:w="846" w:type="dxa"/>
            <w:tcBorders>
              <w:bottom w:val="single" w:sz="4" w:space="0" w:color="auto"/>
            </w:tcBorders>
            <w:vAlign w:val="bottom"/>
          </w:tcPr>
          <w:p w14:paraId="5832D720"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£'m</w:t>
            </w:r>
          </w:p>
        </w:tc>
        <w:tc>
          <w:tcPr>
            <w:tcW w:w="846" w:type="dxa"/>
            <w:tcBorders>
              <w:bottom w:val="single" w:sz="4" w:space="0" w:color="auto"/>
            </w:tcBorders>
            <w:vAlign w:val="bottom"/>
          </w:tcPr>
          <w:p w14:paraId="3173DDC3"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£'m</w:t>
            </w:r>
          </w:p>
        </w:tc>
        <w:tc>
          <w:tcPr>
            <w:tcW w:w="846" w:type="dxa"/>
            <w:tcBorders>
              <w:bottom w:val="single" w:sz="4" w:space="0" w:color="auto"/>
            </w:tcBorders>
            <w:vAlign w:val="bottom"/>
          </w:tcPr>
          <w:p w14:paraId="450F5456"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£'m</w:t>
            </w:r>
          </w:p>
        </w:tc>
        <w:tc>
          <w:tcPr>
            <w:tcW w:w="847" w:type="dxa"/>
            <w:tcBorders>
              <w:bottom w:val="single" w:sz="4" w:space="0" w:color="auto"/>
            </w:tcBorders>
            <w:vAlign w:val="bottom"/>
          </w:tcPr>
          <w:p w14:paraId="7823408E" w14:textId="77777777" w:rsidR="008C676E" w:rsidRPr="00A43702" w:rsidRDefault="008C676E" w:rsidP="00AB1DC6">
            <w:pPr>
              <w:spacing w:after="0" w:line="240" w:lineRule="auto"/>
              <w:jc w:val="right"/>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£'m</w:t>
            </w:r>
          </w:p>
        </w:tc>
      </w:tr>
      <w:tr w:rsidR="008C676E" w:rsidRPr="006160B8" w14:paraId="0B9E61B1" w14:textId="77777777" w:rsidTr="00AB1DC6">
        <w:trPr>
          <w:trHeight w:val="283"/>
        </w:trPr>
        <w:tc>
          <w:tcPr>
            <w:tcW w:w="2977" w:type="dxa"/>
            <w:tcBorders>
              <w:top w:val="single" w:sz="4" w:space="0" w:color="auto"/>
            </w:tcBorders>
            <w:shd w:val="clear" w:color="auto" w:fill="auto"/>
            <w:noWrap/>
            <w:vAlign w:val="bottom"/>
            <w:hideMark/>
          </w:tcPr>
          <w:p w14:paraId="244D4234" w14:textId="77777777" w:rsidR="008C676E" w:rsidRPr="00A43702" w:rsidRDefault="008C676E" w:rsidP="00AB1DC6">
            <w:pPr>
              <w:spacing w:after="0" w:line="240" w:lineRule="auto"/>
              <w:rPr>
                <w:rFonts w:ascii="Arial" w:eastAsia="Times New Roman" w:hAnsi="Arial" w:cs="Arial"/>
                <w:color w:val="000000"/>
                <w:sz w:val="20"/>
                <w:szCs w:val="20"/>
                <w:lang w:eastAsia="en-GB"/>
              </w:rPr>
            </w:pPr>
            <w:r w:rsidRPr="00A43702">
              <w:rPr>
                <w:rFonts w:ascii="Arial" w:eastAsia="Times New Roman" w:hAnsi="Arial" w:cs="Arial"/>
                <w:color w:val="000000"/>
                <w:sz w:val="20"/>
                <w:szCs w:val="20"/>
                <w:lang w:eastAsia="en-GB"/>
              </w:rPr>
              <w:t>Segment adjusted operating profit/(loss)</w:t>
            </w:r>
          </w:p>
        </w:tc>
        <w:tc>
          <w:tcPr>
            <w:tcW w:w="846" w:type="dxa"/>
            <w:tcBorders>
              <w:top w:val="single" w:sz="4" w:space="0" w:color="auto"/>
            </w:tcBorders>
            <w:shd w:val="clear" w:color="auto" w:fill="auto"/>
            <w:noWrap/>
            <w:vAlign w:val="bottom"/>
          </w:tcPr>
          <w:p w14:paraId="42F19789"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23.</w:t>
            </w:r>
            <w:r>
              <w:rPr>
                <w:rFonts w:ascii="Arial" w:hAnsi="Arial" w:cs="Arial"/>
                <w:b/>
                <w:bCs/>
                <w:sz w:val="20"/>
                <w:szCs w:val="20"/>
              </w:rPr>
              <w:t>2</w:t>
            </w:r>
            <w:r w:rsidRPr="00A43702">
              <w:rPr>
                <w:rFonts w:ascii="Arial" w:hAnsi="Arial" w:cs="Arial"/>
                <w:b/>
                <w:bCs/>
                <w:sz w:val="20"/>
                <w:szCs w:val="20"/>
              </w:rPr>
              <w:t xml:space="preserve"> </w:t>
            </w:r>
          </w:p>
        </w:tc>
        <w:tc>
          <w:tcPr>
            <w:tcW w:w="846" w:type="dxa"/>
            <w:tcBorders>
              <w:top w:val="single" w:sz="4" w:space="0" w:color="auto"/>
            </w:tcBorders>
            <w:shd w:val="clear" w:color="auto" w:fill="auto"/>
            <w:noWrap/>
            <w:vAlign w:val="bottom"/>
          </w:tcPr>
          <w:p w14:paraId="494F4A05"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 xml:space="preserve">13.6 </w:t>
            </w:r>
          </w:p>
        </w:tc>
        <w:tc>
          <w:tcPr>
            <w:tcW w:w="846" w:type="dxa"/>
            <w:tcBorders>
              <w:top w:val="single" w:sz="4" w:space="0" w:color="auto"/>
            </w:tcBorders>
            <w:shd w:val="clear" w:color="auto" w:fill="auto"/>
            <w:noWrap/>
            <w:vAlign w:val="bottom"/>
          </w:tcPr>
          <w:p w14:paraId="01D78733"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w:t>
            </w:r>
            <w:r>
              <w:rPr>
                <w:rFonts w:ascii="Arial" w:hAnsi="Arial" w:cs="Arial"/>
                <w:b/>
                <w:bCs/>
                <w:sz w:val="20"/>
                <w:szCs w:val="20"/>
              </w:rPr>
              <w:t>4.7</w:t>
            </w:r>
            <w:r w:rsidRPr="00A43702">
              <w:rPr>
                <w:rFonts w:ascii="Arial" w:hAnsi="Arial" w:cs="Arial"/>
                <w:b/>
                <w:bCs/>
                <w:sz w:val="20"/>
                <w:szCs w:val="20"/>
              </w:rPr>
              <w:t>)</w:t>
            </w:r>
          </w:p>
        </w:tc>
        <w:tc>
          <w:tcPr>
            <w:tcW w:w="846" w:type="dxa"/>
            <w:tcBorders>
              <w:top w:val="single" w:sz="4" w:space="0" w:color="auto"/>
            </w:tcBorders>
            <w:shd w:val="clear" w:color="auto" w:fill="auto"/>
            <w:noWrap/>
            <w:vAlign w:val="bottom"/>
          </w:tcPr>
          <w:p w14:paraId="446A59C9"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Pr>
                <w:rFonts w:ascii="Arial" w:hAnsi="Arial" w:cs="Arial"/>
                <w:b/>
                <w:bCs/>
                <w:sz w:val="20"/>
                <w:szCs w:val="20"/>
              </w:rPr>
              <w:t>32.1</w:t>
            </w:r>
            <w:r w:rsidRPr="00A43702">
              <w:rPr>
                <w:rFonts w:ascii="Arial" w:hAnsi="Arial" w:cs="Arial"/>
                <w:b/>
                <w:bCs/>
                <w:sz w:val="20"/>
                <w:szCs w:val="20"/>
              </w:rPr>
              <w:t xml:space="preserve"> </w:t>
            </w:r>
          </w:p>
        </w:tc>
        <w:tc>
          <w:tcPr>
            <w:tcW w:w="846" w:type="dxa"/>
            <w:tcBorders>
              <w:top w:val="single" w:sz="4" w:space="0" w:color="auto"/>
            </w:tcBorders>
            <w:vAlign w:val="bottom"/>
          </w:tcPr>
          <w:p w14:paraId="3F035EF2"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 xml:space="preserve">23.4 </w:t>
            </w:r>
          </w:p>
        </w:tc>
        <w:tc>
          <w:tcPr>
            <w:tcW w:w="846" w:type="dxa"/>
            <w:tcBorders>
              <w:top w:val="single" w:sz="4" w:space="0" w:color="auto"/>
            </w:tcBorders>
            <w:vAlign w:val="bottom"/>
          </w:tcPr>
          <w:p w14:paraId="7F5E3C1B"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Pr>
                <w:rFonts w:ascii="Arial" w:hAnsi="Arial" w:cs="Arial"/>
                <w:sz w:val="20"/>
                <w:szCs w:val="20"/>
              </w:rPr>
              <w:t>18.0</w:t>
            </w:r>
            <w:r w:rsidRPr="00A43702">
              <w:rPr>
                <w:rFonts w:ascii="Arial" w:hAnsi="Arial" w:cs="Arial"/>
                <w:sz w:val="20"/>
                <w:szCs w:val="20"/>
              </w:rPr>
              <w:t xml:space="preserve"> </w:t>
            </w:r>
          </w:p>
        </w:tc>
        <w:tc>
          <w:tcPr>
            <w:tcW w:w="846" w:type="dxa"/>
            <w:tcBorders>
              <w:top w:val="single" w:sz="4" w:space="0" w:color="auto"/>
            </w:tcBorders>
            <w:vAlign w:val="bottom"/>
          </w:tcPr>
          <w:p w14:paraId="5D34E1FA"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(5.4)</w:t>
            </w:r>
          </w:p>
        </w:tc>
        <w:tc>
          <w:tcPr>
            <w:tcW w:w="847" w:type="dxa"/>
            <w:tcBorders>
              <w:top w:val="single" w:sz="4" w:space="0" w:color="auto"/>
            </w:tcBorders>
            <w:vAlign w:val="bottom"/>
          </w:tcPr>
          <w:p w14:paraId="50CE0B90"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Pr>
                <w:rFonts w:ascii="Arial" w:hAnsi="Arial" w:cs="Arial"/>
                <w:sz w:val="20"/>
                <w:szCs w:val="20"/>
              </w:rPr>
              <w:t>36.0</w:t>
            </w:r>
            <w:r w:rsidRPr="00A43702">
              <w:rPr>
                <w:rFonts w:ascii="Arial" w:hAnsi="Arial" w:cs="Arial"/>
                <w:sz w:val="20"/>
                <w:szCs w:val="20"/>
              </w:rPr>
              <w:t xml:space="preserve"> </w:t>
            </w:r>
          </w:p>
        </w:tc>
      </w:tr>
      <w:tr w:rsidR="008C676E" w:rsidRPr="006160B8" w14:paraId="44B1E2E5" w14:textId="77777777" w:rsidTr="00AB1DC6">
        <w:trPr>
          <w:trHeight w:val="283"/>
        </w:trPr>
        <w:tc>
          <w:tcPr>
            <w:tcW w:w="2977" w:type="dxa"/>
            <w:tcBorders>
              <w:bottom w:val="single" w:sz="4" w:space="0" w:color="auto"/>
            </w:tcBorders>
            <w:shd w:val="clear" w:color="auto" w:fill="auto"/>
            <w:noWrap/>
            <w:vAlign w:val="bottom"/>
          </w:tcPr>
          <w:p w14:paraId="561676A0" w14:textId="77777777" w:rsidR="008C676E" w:rsidRPr="00A43702" w:rsidRDefault="008C676E" w:rsidP="00AB1DC6">
            <w:pPr>
              <w:spacing w:after="0" w:line="240" w:lineRule="auto"/>
              <w:rPr>
                <w:rFonts w:ascii="Arial" w:eastAsia="Times New Roman" w:hAnsi="Arial" w:cs="Arial"/>
                <w:color w:val="000000"/>
                <w:sz w:val="20"/>
                <w:szCs w:val="20"/>
                <w:lang w:eastAsia="en-GB"/>
              </w:rPr>
            </w:pPr>
            <w:r w:rsidRPr="00A43702">
              <w:rPr>
                <w:rFonts w:ascii="Arial" w:eastAsia="Times New Roman" w:hAnsi="Arial" w:cs="Arial"/>
                <w:color w:val="000000"/>
                <w:sz w:val="20"/>
                <w:szCs w:val="20"/>
                <w:lang w:eastAsia="en-GB"/>
              </w:rPr>
              <w:t>Depreciation and amortisation of non-acquisition intangibles</w:t>
            </w:r>
          </w:p>
        </w:tc>
        <w:tc>
          <w:tcPr>
            <w:tcW w:w="846" w:type="dxa"/>
            <w:tcBorders>
              <w:bottom w:val="single" w:sz="4" w:space="0" w:color="auto"/>
            </w:tcBorders>
            <w:shd w:val="clear" w:color="auto" w:fill="auto"/>
            <w:noWrap/>
            <w:vAlign w:val="bottom"/>
          </w:tcPr>
          <w:p w14:paraId="36D1C239"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 xml:space="preserve">12.0 </w:t>
            </w:r>
          </w:p>
        </w:tc>
        <w:tc>
          <w:tcPr>
            <w:tcW w:w="846" w:type="dxa"/>
            <w:tcBorders>
              <w:bottom w:val="single" w:sz="4" w:space="0" w:color="auto"/>
            </w:tcBorders>
            <w:shd w:val="clear" w:color="auto" w:fill="auto"/>
            <w:noWrap/>
            <w:vAlign w:val="bottom"/>
          </w:tcPr>
          <w:p w14:paraId="2814E657"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 xml:space="preserve">4.5 </w:t>
            </w:r>
          </w:p>
        </w:tc>
        <w:tc>
          <w:tcPr>
            <w:tcW w:w="846" w:type="dxa"/>
            <w:tcBorders>
              <w:bottom w:val="single" w:sz="4" w:space="0" w:color="auto"/>
            </w:tcBorders>
            <w:shd w:val="clear" w:color="auto" w:fill="auto"/>
            <w:noWrap/>
            <w:vAlign w:val="bottom"/>
          </w:tcPr>
          <w:p w14:paraId="44D56515"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 xml:space="preserve">0.4 </w:t>
            </w:r>
          </w:p>
        </w:tc>
        <w:tc>
          <w:tcPr>
            <w:tcW w:w="846" w:type="dxa"/>
            <w:tcBorders>
              <w:bottom w:val="single" w:sz="4" w:space="0" w:color="auto"/>
            </w:tcBorders>
            <w:shd w:val="clear" w:color="auto" w:fill="auto"/>
            <w:noWrap/>
            <w:vAlign w:val="bottom"/>
          </w:tcPr>
          <w:p w14:paraId="4993A96D"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 xml:space="preserve">16.9 </w:t>
            </w:r>
          </w:p>
        </w:tc>
        <w:tc>
          <w:tcPr>
            <w:tcW w:w="846" w:type="dxa"/>
            <w:tcBorders>
              <w:bottom w:val="single" w:sz="4" w:space="0" w:color="auto"/>
            </w:tcBorders>
            <w:vAlign w:val="bottom"/>
          </w:tcPr>
          <w:p w14:paraId="40D7896C"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 xml:space="preserve">10.9 </w:t>
            </w:r>
          </w:p>
        </w:tc>
        <w:tc>
          <w:tcPr>
            <w:tcW w:w="846" w:type="dxa"/>
            <w:tcBorders>
              <w:bottom w:val="single" w:sz="4" w:space="0" w:color="auto"/>
            </w:tcBorders>
            <w:vAlign w:val="bottom"/>
          </w:tcPr>
          <w:p w14:paraId="27BFD15F"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 xml:space="preserve">4.0 </w:t>
            </w:r>
          </w:p>
        </w:tc>
        <w:tc>
          <w:tcPr>
            <w:tcW w:w="846" w:type="dxa"/>
            <w:tcBorders>
              <w:bottom w:val="single" w:sz="4" w:space="0" w:color="auto"/>
            </w:tcBorders>
            <w:vAlign w:val="bottom"/>
          </w:tcPr>
          <w:p w14:paraId="04CFFAE3"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 xml:space="preserve">0.4 </w:t>
            </w:r>
          </w:p>
        </w:tc>
        <w:tc>
          <w:tcPr>
            <w:tcW w:w="847" w:type="dxa"/>
            <w:tcBorders>
              <w:bottom w:val="single" w:sz="4" w:space="0" w:color="auto"/>
            </w:tcBorders>
            <w:vAlign w:val="bottom"/>
          </w:tcPr>
          <w:p w14:paraId="39D893FB"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 xml:space="preserve">15.3 </w:t>
            </w:r>
          </w:p>
        </w:tc>
      </w:tr>
      <w:tr w:rsidR="008C676E" w:rsidRPr="006160B8" w14:paraId="0715C04A" w14:textId="77777777" w:rsidTr="00AB1DC6">
        <w:trPr>
          <w:trHeight w:val="283"/>
        </w:trPr>
        <w:tc>
          <w:tcPr>
            <w:tcW w:w="2977" w:type="dxa"/>
            <w:tcBorders>
              <w:top w:val="single" w:sz="4" w:space="0" w:color="auto"/>
              <w:bottom w:val="double" w:sz="4" w:space="0" w:color="auto"/>
            </w:tcBorders>
            <w:shd w:val="clear" w:color="auto" w:fill="auto"/>
            <w:noWrap/>
            <w:vAlign w:val="bottom"/>
            <w:hideMark/>
          </w:tcPr>
          <w:p w14:paraId="775A3571" w14:textId="77777777" w:rsidR="008C676E" w:rsidRPr="00A43702" w:rsidRDefault="008C676E" w:rsidP="00AB1DC6">
            <w:pPr>
              <w:spacing w:after="0" w:line="240" w:lineRule="auto"/>
              <w:rPr>
                <w:rFonts w:ascii="Arial" w:eastAsia="Times New Roman" w:hAnsi="Arial" w:cs="Arial"/>
                <w:b/>
                <w:bCs/>
                <w:color w:val="000000"/>
                <w:sz w:val="20"/>
                <w:szCs w:val="20"/>
                <w:lang w:eastAsia="en-GB"/>
              </w:rPr>
            </w:pPr>
            <w:r w:rsidRPr="00A43702">
              <w:rPr>
                <w:rFonts w:ascii="Arial" w:eastAsia="Times New Roman" w:hAnsi="Arial" w:cs="Arial"/>
                <w:b/>
                <w:bCs/>
                <w:color w:val="000000"/>
                <w:sz w:val="20"/>
                <w:szCs w:val="20"/>
                <w:lang w:eastAsia="en-GB"/>
              </w:rPr>
              <w:t>Adjusted EBITDA</w:t>
            </w:r>
          </w:p>
        </w:tc>
        <w:tc>
          <w:tcPr>
            <w:tcW w:w="846" w:type="dxa"/>
            <w:tcBorders>
              <w:top w:val="single" w:sz="4" w:space="0" w:color="auto"/>
              <w:bottom w:val="double" w:sz="4" w:space="0" w:color="auto"/>
            </w:tcBorders>
            <w:shd w:val="clear" w:color="auto" w:fill="auto"/>
            <w:noWrap/>
            <w:vAlign w:val="bottom"/>
          </w:tcPr>
          <w:p w14:paraId="5AC1307A"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35.</w:t>
            </w:r>
            <w:r>
              <w:rPr>
                <w:rFonts w:ascii="Arial" w:hAnsi="Arial" w:cs="Arial"/>
                <w:b/>
                <w:bCs/>
                <w:sz w:val="20"/>
                <w:szCs w:val="20"/>
              </w:rPr>
              <w:t>2</w:t>
            </w:r>
            <w:r w:rsidRPr="00A43702">
              <w:rPr>
                <w:rFonts w:ascii="Arial" w:hAnsi="Arial" w:cs="Arial"/>
                <w:b/>
                <w:bCs/>
                <w:sz w:val="20"/>
                <w:szCs w:val="20"/>
              </w:rPr>
              <w:t xml:space="preserve"> </w:t>
            </w:r>
          </w:p>
        </w:tc>
        <w:tc>
          <w:tcPr>
            <w:tcW w:w="846" w:type="dxa"/>
            <w:tcBorders>
              <w:top w:val="single" w:sz="4" w:space="0" w:color="auto"/>
              <w:bottom w:val="double" w:sz="4" w:space="0" w:color="auto"/>
            </w:tcBorders>
            <w:shd w:val="clear" w:color="auto" w:fill="auto"/>
            <w:noWrap/>
            <w:vAlign w:val="bottom"/>
          </w:tcPr>
          <w:p w14:paraId="406D9F0C"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 xml:space="preserve">18.1 </w:t>
            </w:r>
          </w:p>
        </w:tc>
        <w:tc>
          <w:tcPr>
            <w:tcW w:w="846" w:type="dxa"/>
            <w:tcBorders>
              <w:top w:val="single" w:sz="4" w:space="0" w:color="auto"/>
              <w:bottom w:val="double" w:sz="4" w:space="0" w:color="auto"/>
            </w:tcBorders>
            <w:shd w:val="clear" w:color="auto" w:fill="auto"/>
            <w:noWrap/>
            <w:vAlign w:val="bottom"/>
          </w:tcPr>
          <w:p w14:paraId="487B6A52"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sidRPr="00A43702">
              <w:rPr>
                <w:rFonts w:ascii="Arial" w:hAnsi="Arial" w:cs="Arial"/>
                <w:b/>
                <w:bCs/>
                <w:sz w:val="20"/>
                <w:szCs w:val="20"/>
              </w:rPr>
              <w:t>(4.</w:t>
            </w:r>
            <w:r>
              <w:rPr>
                <w:rFonts w:ascii="Arial" w:hAnsi="Arial" w:cs="Arial"/>
                <w:b/>
                <w:bCs/>
                <w:sz w:val="20"/>
                <w:szCs w:val="20"/>
              </w:rPr>
              <w:t>3</w:t>
            </w:r>
            <w:r w:rsidRPr="00A43702">
              <w:rPr>
                <w:rFonts w:ascii="Arial" w:hAnsi="Arial" w:cs="Arial"/>
                <w:b/>
                <w:bCs/>
                <w:sz w:val="20"/>
                <w:szCs w:val="20"/>
              </w:rPr>
              <w:t>)</w:t>
            </w:r>
          </w:p>
        </w:tc>
        <w:tc>
          <w:tcPr>
            <w:tcW w:w="846" w:type="dxa"/>
            <w:tcBorders>
              <w:top w:val="single" w:sz="4" w:space="0" w:color="auto"/>
              <w:bottom w:val="double" w:sz="4" w:space="0" w:color="auto"/>
            </w:tcBorders>
            <w:shd w:val="clear" w:color="auto" w:fill="auto"/>
            <w:noWrap/>
            <w:vAlign w:val="bottom"/>
          </w:tcPr>
          <w:p w14:paraId="41AAB942" w14:textId="77777777" w:rsidR="008C676E" w:rsidRPr="00A43702" w:rsidRDefault="008C676E" w:rsidP="00AB1DC6">
            <w:pPr>
              <w:spacing w:after="0" w:line="240" w:lineRule="auto"/>
              <w:jc w:val="right"/>
              <w:rPr>
                <w:rFonts w:ascii="Arial" w:eastAsiaTheme="minorEastAsia" w:hAnsi="Arial" w:cs="Arial"/>
                <w:b/>
                <w:bCs/>
                <w:sz w:val="20"/>
                <w:szCs w:val="20"/>
                <w:lang w:eastAsia="en-GB"/>
              </w:rPr>
            </w:pPr>
            <w:r>
              <w:rPr>
                <w:rFonts w:ascii="Arial" w:hAnsi="Arial" w:cs="Arial"/>
                <w:b/>
                <w:bCs/>
                <w:sz w:val="20"/>
                <w:szCs w:val="20"/>
              </w:rPr>
              <w:t>49.0</w:t>
            </w:r>
            <w:r w:rsidRPr="00A43702">
              <w:rPr>
                <w:rFonts w:ascii="Arial" w:hAnsi="Arial" w:cs="Arial"/>
                <w:b/>
                <w:bCs/>
                <w:sz w:val="20"/>
                <w:szCs w:val="20"/>
              </w:rPr>
              <w:t xml:space="preserve"> </w:t>
            </w:r>
          </w:p>
        </w:tc>
        <w:tc>
          <w:tcPr>
            <w:tcW w:w="846" w:type="dxa"/>
            <w:tcBorders>
              <w:top w:val="single" w:sz="4" w:space="0" w:color="auto"/>
              <w:bottom w:val="double" w:sz="4" w:space="0" w:color="auto"/>
            </w:tcBorders>
            <w:vAlign w:val="bottom"/>
          </w:tcPr>
          <w:p w14:paraId="4D920147"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 xml:space="preserve">34.3 </w:t>
            </w:r>
          </w:p>
        </w:tc>
        <w:tc>
          <w:tcPr>
            <w:tcW w:w="846" w:type="dxa"/>
            <w:tcBorders>
              <w:top w:val="single" w:sz="4" w:space="0" w:color="auto"/>
              <w:bottom w:val="double" w:sz="4" w:space="0" w:color="auto"/>
            </w:tcBorders>
            <w:vAlign w:val="bottom"/>
          </w:tcPr>
          <w:p w14:paraId="7547D4A3"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Pr>
                <w:rFonts w:ascii="Arial" w:hAnsi="Arial" w:cs="Arial"/>
                <w:sz w:val="20"/>
                <w:szCs w:val="20"/>
              </w:rPr>
              <w:t>22.0</w:t>
            </w:r>
            <w:r w:rsidRPr="00A43702">
              <w:rPr>
                <w:rFonts w:ascii="Arial" w:hAnsi="Arial" w:cs="Arial"/>
                <w:sz w:val="20"/>
                <w:szCs w:val="20"/>
              </w:rPr>
              <w:t xml:space="preserve"> </w:t>
            </w:r>
          </w:p>
        </w:tc>
        <w:tc>
          <w:tcPr>
            <w:tcW w:w="846" w:type="dxa"/>
            <w:tcBorders>
              <w:top w:val="single" w:sz="4" w:space="0" w:color="auto"/>
              <w:bottom w:val="double" w:sz="4" w:space="0" w:color="auto"/>
            </w:tcBorders>
            <w:vAlign w:val="bottom"/>
          </w:tcPr>
          <w:p w14:paraId="5FB554DE"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(5.0)</w:t>
            </w:r>
          </w:p>
        </w:tc>
        <w:tc>
          <w:tcPr>
            <w:tcW w:w="847" w:type="dxa"/>
            <w:tcBorders>
              <w:top w:val="single" w:sz="4" w:space="0" w:color="auto"/>
              <w:bottom w:val="double" w:sz="4" w:space="0" w:color="auto"/>
            </w:tcBorders>
            <w:vAlign w:val="bottom"/>
          </w:tcPr>
          <w:p w14:paraId="4A85B8F7" w14:textId="77777777" w:rsidR="008C676E" w:rsidRPr="00A43702" w:rsidRDefault="008C676E" w:rsidP="00AB1DC6">
            <w:pPr>
              <w:spacing w:after="0" w:line="240" w:lineRule="auto"/>
              <w:jc w:val="right"/>
              <w:rPr>
                <w:rFonts w:ascii="Arial" w:eastAsiaTheme="minorEastAsia" w:hAnsi="Arial" w:cs="Arial"/>
                <w:sz w:val="20"/>
                <w:szCs w:val="20"/>
                <w:lang w:eastAsia="en-GB"/>
              </w:rPr>
            </w:pPr>
            <w:r w:rsidRPr="00A43702">
              <w:rPr>
                <w:rFonts w:ascii="Arial" w:hAnsi="Arial" w:cs="Arial"/>
                <w:sz w:val="20"/>
                <w:szCs w:val="20"/>
              </w:rPr>
              <w:t>51.</w:t>
            </w:r>
            <w:r>
              <w:rPr>
                <w:rFonts w:ascii="Arial" w:hAnsi="Arial" w:cs="Arial"/>
                <w:sz w:val="20"/>
                <w:szCs w:val="20"/>
              </w:rPr>
              <w:t>3</w:t>
            </w:r>
            <w:r w:rsidRPr="00A43702">
              <w:rPr>
                <w:rFonts w:ascii="Arial" w:hAnsi="Arial" w:cs="Arial"/>
                <w:sz w:val="20"/>
                <w:szCs w:val="20"/>
              </w:rPr>
              <w:t xml:space="preserve"> </w:t>
            </w:r>
          </w:p>
        </w:tc>
      </w:tr>
    </w:tbl>
    <w:p w14:paraId="687E8137" w14:textId="77777777" w:rsidR="008C676E" w:rsidRPr="00A43702" w:rsidRDefault="008C676E" w:rsidP="008C676E">
      <w:pPr>
        <w:spacing w:after="0"/>
        <w:jc w:val="both"/>
        <w:rPr>
          <w:rFonts w:ascii="Arial" w:hAnsi="Arial" w:cs="Arial"/>
          <w:sz w:val="20"/>
          <w:szCs w:val="20"/>
        </w:rPr>
      </w:pPr>
    </w:p>
    <w:p w14:paraId="58300CDF" w14:textId="77777777" w:rsidR="008C676E" w:rsidRPr="00A43702" w:rsidRDefault="008C676E" w:rsidP="008C676E">
      <w:pPr>
        <w:spacing w:after="0"/>
        <w:jc w:val="both"/>
        <w:rPr>
          <w:rFonts w:ascii="Arial" w:hAnsi="Arial" w:cs="Arial"/>
          <w:sz w:val="20"/>
          <w:szCs w:val="20"/>
        </w:rPr>
      </w:pPr>
    </w:p>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1157"/>
        <w:gridCol w:w="1157"/>
        <w:gridCol w:w="1157"/>
        <w:gridCol w:w="1158"/>
      </w:tblGrid>
      <w:tr w:rsidR="008C676E" w:rsidRPr="006160B8" w14:paraId="6DE9B997" w14:textId="77777777" w:rsidTr="00AB1DC6">
        <w:trPr>
          <w:trHeight w:val="283"/>
        </w:trPr>
        <w:tc>
          <w:tcPr>
            <w:tcW w:w="5123" w:type="dxa"/>
            <w:vAlign w:val="center"/>
          </w:tcPr>
          <w:p w14:paraId="466AA472" w14:textId="77777777" w:rsidR="008C676E" w:rsidRPr="00A43702" w:rsidRDefault="008C676E" w:rsidP="00AB1DC6">
            <w:pPr>
              <w:jc w:val="both"/>
              <w:rPr>
                <w:rFonts w:ascii="Arial" w:hAnsi="Arial" w:cs="Arial"/>
                <w:sz w:val="20"/>
                <w:szCs w:val="20"/>
              </w:rPr>
            </w:pPr>
          </w:p>
        </w:tc>
        <w:tc>
          <w:tcPr>
            <w:tcW w:w="2314" w:type="dxa"/>
            <w:gridSpan w:val="2"/>
            <w:vAlign w:val="bottom"/>
          </w:tcPr>
          <w:p w14:paraId="043396AA" w14:textId="77777777" w:rsidR="008C676E" w:rsidRPr="00A43702" w:rsidRDefault="008C676E" w:rsidP="00AB1DC6">
            <w:pPr>
              <w:jc w:val="cente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2024</w:t>
            </w:r>
          </w:p>
        </w:tc>
        <w:tc>
          <w:tcPr>
            <w:tcW w:w="2315" w:type="dxa"/>
            <w:gridSpan w:val="2"/>
            <w:vAlign w:val="bottom"/>
          </w:tcPr>
          <w:p w14:paraId="4A27A4CA" w14:textId="77777777" w:rsidR="008C676E" w:rsidRPr="00A43702" w:rsidRDefault="008C676E" w:rsidP="00AB1DC6">
            <w:pPr>
              <w:jc w:val="cente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2023</w:t>
            </w:r>
          </w:p>
        </w:tc>
      </w:tr>
      <w:tr w:rsidR="008C676E" w:rsidRPr="006160B8" w14:paraId="6E852573" w14:textId="77777777" w:rsidTr="00AB1DC6">
        <w:trPr>
          <w:trHeight w:val="283"/>
        </w:trPr>
        <w:tc>
          <w:tcPr>
            <w:tcW w:w="5123" w:type="dxa"/>
            <w:vAlign w:val="center"/>
          </w:tcPr>
          <w:p w14:paraId="3A81B863" w14:textId="77777777" w:rsidR="008C676E" w:rsidRPr="00A43702" w:rsidRDefault="008C676E" w:rsidP="00AB1DC6">
            <w:pPr>
              <w:jc w:val="both"/>
              <w:rPr>
                <w:rFonts w:ascii="Arial" w:hAnsi="Arial" w:cs="Arial"/>
                <w:sz w:val="20"/>
                <w:szCs w:val="20"/>
              </w:rPr>
            </w:pPr>
          </w:p>
        </w:tc>
        <w:tc>
          <w:tcPr>
            <w:tcW w:w="1157" w:type="dxa"/>
            <w:vAlign w:val="bottom"/>
          </w:tcPr>
          <w:p w14:paraId="1D8B8269"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GRC</w:t>
            </w:r>
          </w:p>
        </w:tc>
        <w:tc>
          <w:tcPr>
            <w:tcW w:w="1157" w:type="dxa"/>
            <w:vAlign w:val="bottom"/>
          </w:tcPr>
          <w:p w14:paraId="0C16C4D3"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Total</w:t>
            </w:r>
          </w:p>
        </w:tc>
        <w:tc>
          <w:tcPr>
            <w:tcW w:w="1157" w:type="dxa"/>
            <w:vAlign w:val="bottom"/>
          </w:tcPr>
          <w:p w14:paraId="60897B7D"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GRC</w:t>
            </w:r>
          </w:p>
        </w:tc>
        <w:tc>
          <w:tcPr>
            <w:tcW w:w="1158" w:type="dxa"/>
            <w:vAlign w:val="bottom"/>
          </w:tcPr>
          <w:p w14:paraId="15534407" w14:textId="77777777" w:rsidR="008C676E" w:rsidRPr="00A43702" w:rsidRDefault="008C676E" w:rsidP="00AB1DC6">
            <w:pPr>
              <w:jc w:val="right"/>
              <w:rPr>
                <w:rFonts w:ascii="Arial" w:eastAsia="Times New Roman" w:hAnsi="Arial" w:cs="Arial"/>
                <w:b/>
                <w:bCs/>
                <w:color w:val="000000"/>
                <w:sz w:val="20"/>
                <w:szCs w:val="20"/>
              </w:rPr>
            </w:pPr>
          </w:p>
          <w:p w14:paraId="36657D50"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Total</w:t>
            </w:r>
          </w:p>
        </w:tc>
      </w:tr>
      <w:tr w:rsidR="008C676E" w:rsidRPr="006160B8" w14:paraId="50C8D6A6" w14:textId="77777777" w:rsidTr="00AB1DC6">
        <w:trPr>
          <w:trHeight w:val="283"/>
        </w:trPr>
        <w:tc>
          <w:tcPr>
            <w:tcW w:w="5123" w:type="dxa"/>
            <w:tcBorders>
              <w:bottom w:val="single" w:sz="4" w:space="0" w:color="auto"/>
            </w:tcBorders>
            <w:vAlign w:val="center"/>
          </w:tcPr>
          <w:p w14:paraId="04FAA03F" w14:textId="77777777" w:rsidR="008C676E" w:rsidRPr="00A43702" w:rsidRDefault="008C676E" w:rsidP="00AB1DC6">
            <w:pPr>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Discontinued operations</w:t>
            </w:r>
          </w:p>
        </w:tc>
        <w:tc>
          <w:tcPr>
            <w:tcW w:w="1157" w:type="dxa"/>
            <w:tcBorders>
              <w:bottom w:val="single" w:sz="4" w:space="0" w:color="auto"/>
            </w:tcBorders>
            <w:vAlign w:val="bottom"/>
          </w:tcPr>
          <w:p w14:paraId="1DE240EB"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1157" w:type="dxa"/>
            <w:tcBorders>
              <w:bottom w:val="single" w:sz="4" w:space="0" w:color="auto"/>
            </w:tcBorders>
            <w:vAlign w:val="bottom"/>
          </w:tcPr>
          <w:p w14:paraId="0BE13B69"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1157" w:type="dxa"/>
            <w:tcBorders>
              <w:bottom w:val="single" w:sz="4" w:space="0" w:color="auto"/>
            </w:tcBorders>
            <w:vAlign w:val="bottom"/>
          </w:tcPr>
          <w:p w14:paraId="5AB0DBEC"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c>
          <w:tcPr>
            <w:tcW w:w="1158" w:type="dxa"/>
            <w:tcBorders>
              <w:bottom w:val="single" w:sz="4" w:space="0" w:color="auto"/>
            </w:tcBorders>
            <w:vAlign w:val="bottom"/>
          </w:tcPr>
          <w:p w14:paraId="4DF1D017" w14:textId="77777777" w:rsidR="008C676E" w:rsidRPr="00A43702" w:rsidRDefault="008C676E" w:rsidP="00AB1DC6">
            <w:pPr>
              <w:jc w:val="right"/>
              <w:rPr>
                <w:rFonts w:ascii="Arial" w:eastAsia="Times New Roman" w:hAnsi="Arial" w:cs="Arial"/>
                <w:b/>
                <w:bCs/>
                <w:color w:val="000000"/>
                <w:sz w:val="20"/>
                <w:szCs w:val="20"/>
              </w:rPr>
            </w:pPr>
            <w:r w:rsidRPr="00A43702">
              <w:rPr>
                <w:rFonts w:ascii="Arial" w:eastAsia="Times New Roman" w:hAnsi="Arial" w:cs="Arial"/>
                <w:b/>
                <w:bCs/>
                <w:color w:val="000000"/>
                <w:sz w:val="20"/>
                <w:szCs w:val="20"/>
              </w:rPr>
              <w:t>£'m</w:t>
            </w:r>
          </w:p>
        </w:tc>
      </w:tr>
      <w:tr w:rsidR="008C676E" w:rsidRPr="006160B8" w14:paraId="48E0717B" w14:textId="77777777" w:rsidTr="00AB1DC6">
        <w:trPr>
          <w:trHeight w:val="283"/>
        </w:trPr>
        <w:tc>
          <w:tcPr>
            <w:tcW w:w="5123" w:type="dxa"/>
            <w:tcBorders>
              <w:top w:val="single" w:sz="4" w:space="0" w:color="auto"/>
            </w:tcBorders>
            <w:vAlign w:val="bottom"/>
          </w:tcPr>
          <w:p w14:paraId="43DF8568"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Segment adjusted operating profit</w:t>
            </w:r>
          </w:p>
        </w:tc>
        <w:tc>
          <w:tcPr>
            <w:tcW w:w="1157" w:type="dxa"/>
            <w:tcBorders>
              <w:top w:val="single" w:sz="4" w:space="0" w:color="auto"/>
            </w:tcBorders>
            <w:vAlign w:val="bottom"/>
          </w:tcPr>
          <w:p w14:paraId="710DBE38" w14:textId="77777777" w:rsidR="008C676E" w:rsidRPr="00A43702" w:rsidRDefault="008C676E" w:rsidP="00AB1DC6">
            <w:pPr>
              <w:jc w:val="right"/>
              <w:rPr>
                <w:rFonts w:ascii="Arial" w:eastAsiaTheme="minorHAnsi" w:hAnsi="Arial" w:cs="Arial"/>
                <w:b/>
                <w:bCs/>
                <w:sz w:val="20"/>
                <w:szCs w:val="20"/>
                <w:lang w:eastAsia="en-US"/>
              </w:rPr>
            </w:pPr>
            <w:r w:rsidRPr="00A43702">
              <w:rPr>
                <w:rFonts w:ascii="Arial" w:hAnsi="Arial" w:cs="Arial"/>
                <w:b/>
                <w:bCs/>
                <w:sz w:val="20"/>
                <w:szCs w:val="20"/>
              </w:rPr>
              <w:t xml:space="preserve">33.3 </w:t>
            </w:r>
          </w:p>
        </w:tc>
        <w:tc>
          <w:tcPr>
            <w:tcW w:w="1157" w:type="dxa"/>
            <w:tcBorders>
              <w:top w:val="single" w:sz="4" w:space="0" w:color="auto"/>
            </w:tcBorders>
            <w:vAlign w:val="bottom"/>
          </w:tcPr>
          <w:p w14:paraId="37476993" w14:textId="77777777" w:rsidR="008C676E" w:rsidRPr="00A43702" w:rsidRDefault="008C676E" w:rsidP="00AB1DC6">
            <w:pPr>
              <w:jc w:val="right"/>
              <w:rPr>
                <w:rFonts w:ascii="Arial" w:eastAsia="Times New Roman" w:hAnsi="Arial" w:cs="Arial"/>
                <w:color w:val="000000"/>
                <w:sz w:val="20"/>
                <w:szCs w:val="20"/>
              </w:rPr>
            </w:pPr>
            <w:r w:rsidRPr="00A43702">
              <w:rPr>
                <w:rFonts w:ascii="Arial" w:hAnsi="Arial" w:cs="Arial"/>
                <w:b/>
                <w:bCs/>
                <w:sz w:val="20"/>
                <w:szCs w:val="20"/>
              </w:rPr>
              <w:t xml:space="preserve">33.3 </w:t>
            </w:r>
          </w:p>
        </w:tc>
        <w:tc>
          <w:tcPr>
            <w:tcW w:w="1157" w:type="dxa"/>
            <w:tcBorders>
              <w:top w:val="single" w:sz="4" w:space="0" w:color="auto"/>
            </w:tcBorders>
            <w:vAlign w:val="bottom"/>
          </w:tcPr>
          <w:p w14:paraId="49A9F05D" w14:textId="77777777" w:rsidR="008C676E" w:rsidRPr="00A43702" w:rsidRDefault="008C676E" w:rsidP="00AB1DC6">
            <w:pPr>
              <w:jc w:val="right"/>
              <w:rPr>
                <w:rFonts w:ascii="Arial" w:eastAsiaTheme="minorHAnsi" w:hAnsi="Arial" w:cs="Arial"/>
                <w:sz w:val="20"/>
                <w:szCs w:val="20"/>
                <w:lang w:eastAsia="en-US"/>
              </w:rPr>
            </w:pPr>
            <w:r w:rsidRPr="00A43702">
              <w:rPr>
                <w:rFonts w:ascii="Arial" w:hAnsi="Arial" w:cs="Arial"/>
                <w:sz w:val="20"/>
                <w:szCs w:val="20"/>
              </w:rPr>
              <w:t>28.</w:t>
            </w:r>
            <w:r>
              <w:rPr>
                <w:rFonts w:ascii="Arial" w:hAnsi="Arial" w:cs="Arial"/>
                <w:sz w:val="20"/>
                <w:szCs w:val="20"/>
              </w:rPr>
              <w:t>3</w:t>
            </w:r>
            <w:r w:rsidRPr="00A43702">
              <w:rPr>
                <w:rFonts w:ascii="Arial" w:hAnsi="Arial" w:cs="Arial"/>
                <w:sz w:val="20"/>
                <w:szCs w:val="20"/>
              </w:rPr>
              <w:t xml:space="preserve"> </w:t>
            </w:r>
          </w:p>
        </w:tc>
        <w:tc>
          <w:tcPr>
            <w:tcW w:w="1158" w:type="dxa"/>
            <w:tcBorders>
              <w:top w:val="single" w:sz="4" w:space="0" w:color="auto"/>
            </w:tcBorders>
            <w:vAlign w:val="bottom"/>
          </w:tcPr>
          <w:p w14:paraId="1776EFF6" w14:textId="77777777" w:rsidR="008C676E" w:rsidRPr="00A43702" w:rsidRDefault="008C676E" w:rsidP="00AB1DC6">
            <w:pPr>
              <w:jc w:val="right"/>
              <w:rPr>
                <w:rFonts w:ascii="Arial" w:eastAsia="Times New Roman" w:hAnsi="Arial" w:cs="Arial"/>
                <w:color w:val="000000"/>
                <w:sz w:val="20"/>
                <w:szCs w:val="20"/>
              </w:rPr>
            </w:pPr>
            <w:r w:rsidRPr="00A43702">
              <w:rPr>
                <w:rFonts w:ascii="Arial" w:hAnsi="Arial" w:cs="Arial"/>
                <w:sz w:val="20"/>
                <w:szCs w:val="20"/>
              </w:rPr>
              <w:t>28.</w:t>
            </w:r>
            <w:r>
              <w:rPr>
                <w:rFonts w:ascii="Arial" w:hAnsi="Arial" w:cs="Arial"/>
                <w:sz w:val="20"/>
                <w:szCs w:val="20"/>
              </w:rPr>
              <w:t>3</w:t>
            </w:r>
            <w:r w:rsidRPr="00A43702">
              <w:rPr>
                <w:rFonts w:ascii="Arial" w:hAnsi="Arial" w:cs="Arial"/>
                <w:sz w:val="20"/>
                <w:szCs w:val="20"/>
              </w:rPr>
              <w:t xml:space="preserve"> </w:t>
            </w:r>
          </w:p>
        </w:tc>
      </w:tr>
      <w:tr w:rsidR="008C676E" w:rsidRPr="006160B8" w14:paraId="1AD4E474" w14:textId="77777777" w:rsidTr="00AB1DC6">
        <w:trPr>
          <w:trHeight w:val="283"/>
        </w:trPr>
        <w:tc>
          <w:tcPr>
            <w:tcW w:w="5123" w:type="dxa"/>
            <w:tcBorders>
              <w:bottom w:val="single" w:sz="4" w:space="0" w:color="auto"/>
            </w:tcBorders>
            <w:vAlign w:val="bottom"/>
          </w:tcPr>
          <w:p w14:paraId="656E4F9A" w14:textId="77777777" w:rsidR="008C676E" w:rsidRPr="00A43702" w:rsidRDefault="008C676E" w:rsidP="00AB1DC6">
            <w:pPr>
              <w:rPr>
                <w:rFonts w:ascii="Arial" w:hAnsi="Arial" w:cs="Arial"/>
                <w:sz w:val="20"/>
                <w:szCs w:val="20"/>
              </w:rPr>
            </w:pPr>
            <w:r w:rsidRPr="00A43702">
              <w:rPr>
                <w:rFonts w:ascii="Arial" w:eastAsia="Times New Roman" w:hAnsi="Arial" w:cs="Arial"/>
                <w:color w:val="000000"/>
                <w:sz w:val="20"/>
                <w:szCs w:val="20"/>
              </w:rPr>
              <w:t>Depreciation and amortisation of non-acquisition intangibles</w:t>
            </w:r>
          </w:p>
        </w:tc>
        <w:tc>
          <w:tcPr>
            <w:tcW w:w="1157" w:type="dxa"/>
            <w:tcBorders>
              <w:bottom w:val="single" w:sz="4" w:space="0" w:color="auto"/>
            </w:tcBorders>
            <w:vAlign w:val="bottom"/>
          </w:tcPr>
          <w:p w14:paraId="53F0B191" w14:textId="77777777" w:rsidR="008C676E" w:rsidRPr="00A43702" w:rsidRDefault="008C676E" w:rsidP="00AB1DC6">
            <w:pPr>
              <w:jc w:val="right"/>
              <w:rPr>
                <w:rFonts w:ascii="Arial" w:eastAsiaTheme="minorHAnsi" w:hAnsi="Arial" w:cs="Arial"/>
                <w:b/>
                <w:bCs/>
                <w:sz w:val="20"/>
                <w:szCs w:val="20"/>
                <w:lang w:eastAsia="en-US"/>
              </w:rPr>
            </w:pPr>
            <w:r w:rsidRPr="00A43702">
              <w:rPr>
                <w:rFonts w:ascii="Arial" w:hAnsi="Arial" w:cs="Arial"/>
                <w:b/>
                <w:bCs/>
                <w:sz w:val="20"/>
                <w:szCs w:val="20"/>
              </w:rPr>
              <w:t xml:space="preserve">4.0 </w:t>
            </w:r>
          </w:p>
        </w:tc>
        <w:tc>
          <w:tcPr>
            <w:tcW w:w="1157" w:type="dxa"/>
            <w:tcBorders>
              <w:bottom w:val="single" w:sz="4" w:space="0" w:color="auto"/>
            </w:tcBorders>
            <w:vAlign w:val="bottom"/>
          </w:tcPr>
          <w:p w14:paraId="53D8F3B9" w14:textId="77777777" w:rsidR="008C676E" w:rsidRPr="00A43702" w:rsidRDefault="008C676E" w:rsidP="00AB1DC6">
            <w:pPr>
              <w:jc w:val="right"/>
              <w:rPr>
                <w:rFonts w:ascii="Arial" w:eastAsia="Times New Roman" w:hAnsi="Arial" w:cs="Arial"/>
                <w:color w:val="000000"/>
                <w:sz w:val="20"/>
                <w:szCs w:val="20"/>
              </w:rPr>
            </w:pPr>
            <w:r w:rsidRPr="00A43702">
              <w:rPr>
                <w:rFonts w:ascii="Arial" w:hAnsi="Arial" w:cs="Arial"/>
                <w:b/>
                <w:bCs/>
                <w:sz w:val="20"/>
                <w:szCs w:val="20"/>
              </w:rPr>
              <w:t xml:space="preserve">4.0 </w:t>
            </w:r>
          </w:p>
        </w:tc>
        <w:tc>
          <w:tcPr>
            <w:tcW w:w="1157" w:type="dxa"/>
            <w:tcBorders>
              <w:bottom w:val="single" w:sz="4" w:space="0" w:color="auto"/>
            </w:tcBorders>
            <w:vAlign w:val="bottom"/>
          </w:tcPr>
          <w:p w14:paraId="450AD733" w14:textId="77777777" w:rsidR="008C676E" w:rsidRPr="00A43702" w:rsidRDefault="008C676E" w:rsidP="00AB1DC6">
            <w:pPr>
              <w:jc w:val="right"/>
              <w:rPr>
                <w:rFonts w:ascii="Arial" w:eastAsiaTheme="minorHAnsi" w:hAnsi="Arial" w:cs="Arial"/>
                <w:sz w:val="20"/>
                <w:szCs w:val="20"/>
                <w:lang w:eastAsia="en-US"/>
              </w:rPr>
            </w:pPr>
            <w:r w:rsidRPr="00A43702">
              <w:rPr>
                <w:rFonts w:ascii="Arial" w:hAnsi="Arial" w:cs="Arial"/>
                <w:sz w:val="20"/>
                <w:szCs w:val="20"/>
              </w:rPr>
              <w:t xml:space="preserve">3.1 </w:t>
            </w:r>
          </w:p>
        </w:tc>
        <w:tc>
          <w:tcPr>
            <w:tcW w:w="1158" w:type="dxa"/>
            <w:tcBorders>
              <w:bottom w:val="single" w:sz="4" w:space="0" w:color="auto"/>
            </w:tcBorders>
            <w:vAlign w:val="bottom"/>
          </w:tcPr>
          <w:p w14:paraId="4BEE94F2" w14:textId="77777777" w:rsidR="008C676E" w:rsidRPr="00A43702" w:rsidRDefault="008C676E" w:rsidP="00AB1DC6">
            <w:pPr>
              <w:jc w:val="right"/>
              <w:rPr>
                <w:rFonts w:ascii="Arial" w:eastAsia="Times New Roman" w:hAnsi="Arial" w:cs="Arial"/>
                <w:color w:val="000000"/>
                <w:sz w:val="20"/>
                <w:szCs w:val="20"/>
              </w:rPr>
            </w:pPr>
            <w:r w:rsidRPr="00A43702">
              <w:rPr>
                <w:rFonts w:ascii="Arial" w:hAnsi="Arial" w:cs="Arial"/>
                <w:sz w:val="20"/>
                <w:szCs w:val="20"/>
              </w:rPr>
              <w:t xml:space="preserve">3.1 </w:t>
            </w:r>
          </w:p>
        </w:tc>
      </w:tr>
      <w:tr w:rsidR="008C676E" w:rsidRPr="006160B8" w14:paraId="298639DC" w14:textId="77777777" w:rsidTr="00AB1DC6">
        <w:trPr>
          <w:trHeight w:val="283"/>
        </w:trPr>
        <w:tc>
          <w:tcPr>
            <w:tcW w:w="5123" w:type="dxa"/>
            <w:tcBorders>
              <w:bottom w:val="double" w:sz="4" w:space="0" w:color="auto"/>
            </w:tcBorders>
            <w:vAlign w:val="center"/>
          </w:tcPr>
          <w:p w14:paraId="744CF620" w14:textId="77777777" w:rsidR="008C676E" w:rsidRPr="00A43702" w:rsidRDefault="008C676E" w:rsidP="00AB1DC6">
            <w:pPr>
              <w:rPr>
                <w:rFonts w:ascii="Arial" w:eastAsia="Times New Roman" w:hAnsi="Arial" w:cs="Arial"/>
                <w:color w:val="000000"/>
                <w:sz w:val="20"/>
                <w:szCs w:val="20"/>
              </w:rPr>
            </w:pPr>
            <w:r w:rsidRPr="00A43702">
              <w:rPr>
                <w:rFonts w:ascii="Arial" w:eastAsia="Times New Roman" w:hAnsi="Arial" w:cs="Arial"/>
                <w:b/>
                <w:bCs/>
                <w:color w:val="000000"/>
                <w:sz w:val="20"/>
                <w:szCs w:val="20"/>
              </w:rPr>
              <w:t>Adjusted EBITDA</w:t>
            </w:r>
          </w:p>
        </w:tc>
        <w:tc>
          <w:tcPr>
            <w:tcW w:w="1157" w:type="dxa"/>
            <w:tcBorders>
              <w:bottom w:val="double" w:sz="4" w:space="0" w:color="auto"/>
            </w:tcBorders>
            <w:vAlign w:val="bottom"/>
          </w:tcPr>
          <w:p w14:paraId="478B2E79" w14:textId="77777777" w:rsidR="008C676E" w:rsidRPr="00A43702" w:rsidRDefault="008C676E" w:rsidP="00AB1DC6">
            <w:pPr>
              <w:jc w:val="right"/>
              <w:rPr>
                <w:rFonts w:ascii="Arial" w:eastAsiaTheme="minorHAnsi" w:hAnsi="Arial" w:cs="Arial"/>
                <w:b/>
                <w:bCs/>
                <w:sz w:val="20"/>
                <w:szCs w:val="20"/>
                <w:lang w:eastAsia="en-US"/>
              </w:rPr>
            </w:pPr>
            <w:r w:rsidRPr="00A43702">
              <w:rPr>
                <w:rFonts w:ascii="Arial" w:hAnsi="Arial" w:cs="Arial"/>
                <w:b/>
                <w:bCs/>
                <w:sz w:val="20"/>
                <w:szCs w:val="20"/>
              </w:rPr>
              <w:t xml:space="preserve">37.3 </w:t>
            </w:r>
          </w:p>
        </w:tc>
        <w:tc>
          <w:tcPr>
            <w:tcW w:w="1157" w:type="dxa"/>
            <w:tcBorders>
              <w:bottom w:val="double" w:sz="4" w:space="0" w:color="auto"/>
            </w:tcBorders>
            <w:vAlign w:val="bottom"/>
          </w:tcPr>
          <w:p w14:paraId="4182B3BF" w14:textId="77777777" w:rsidR="008C676E" w:rsidRPr="00A43702" w:rsidRDefault="008C676E" w:rsidP="00AB1DC6">
            <w:pPr>
              <w:jc w:val="right"/>
              <w:rPr>
                <w:rFonts w:ascii="Arial" w:eastAsia="Times New Roman" w:hAnsi="Arial" w:cs="Arial"/>
                <w:color w:val="000000"/>
                <w:sz w:val="20"/>
                <w:szCs w:val="20"/>
              </w:rPr>
            </w:pPr>
            <w:r w:rsidRPr="00A43702">
              <w:rPr>
                <w:rFonts w:ascii="Arial" w:hAnsi="Arial" w:cs="Arial"/>
                <w:b/>
                <w:bCs/>
                <w:sz w:val="20"/>
                <w:szCs w:val="20"/>
              </w:rPr>
              <w:t xml:space="preserve">37.3 </w:t>
            </w:r>
          </w:p>
        </w:tc>
        <w:tc>
          <w:tcPr>
            <w:tcW w:w="1157" w:type="dxa"/>
            <w:tcBorders>
              <w:bottom w:val="double" w:sz="4" w:space="0" w:color="auto"/>
            </w:tcBorders>
            <w:vAlign w:val="bottom"/>
          </w:tcPr>
          <w:p w14:paraId="4E366D6B" w14:textId="77777777" w:rsidR="008C676E" w:rsidRPr="00A43702" w:rsidRDefault="008C676E" w:rsidP="00AB1DC6">
            <w:pPr>
              <w:jc w:val="right"/>
              <w:rPr>
                <w:rFonts w:ascii="Arial" w:eastAsiaTheme="minorHAnsi" w:hAnsi="Arial" w:cs="Arial"/>
                <w:sz w:val="20"/>
                <w:szCs w:val="20"/>
                <w:lang w:eastAsia="en-US"/>
              </w:rPr>
            </w:pPr>
            <w:r w:rsidRPr="00A43702">
              <w:rPr>
                <w:rFonts w:ascii="Arial" w:hAnsi="Arial" w:cs="Arial"/>
                <w:sz w:val="20"/>
                <w:szCs w:val="20"/>
              </w:rPr>
              <w:t>31.</w:t>
            </w:r>
            <w:r>
              <w:rPr>
                <w:rFonts w:ascii="Arial" w:hAnsi="Arial" w:cs="Arial"/>
                <w:sz w:val="20"/>
                <w:szCs w:val="20"/>
              </w:rPr>
              <w:t>4</w:t>
            </w:r>
            <w:r w:rsidRPr="00A43702">
              <w:rPr>
                <w:rFonts w:ascii="Arial" w:hAnsi="Arial" w:cs="Arial"/>
                <w:sz w:val="20"/>
                <w:szCs w:val="20"/>
              </w:rPr>
              <w:t xml:space="preserve"> </w:t>
            </w:r>
          </w:p>
        </w:tc>
        <w:tc>
          <w:tcPr>
            <w:tcW w:w="1158" w:type="dxa"/>
            <w:tcBorders>
              <w:bottom w:val="double" w:sz="4" w:space="0" w:color="auto"/>
            </w:tcBorders>
            <w:vAlign w:val="bottom"/>
          </w:tcPr>
          <w:p w14:paraId="19108335" w14:textId="77777777" w:rsidR="008C676E" w:rsidRPr="00A43702" w:rsidRDefault="008C676E" w:rsidP="00AB1DC6">
            <w:pPr>
              <w:jc w:val="right"/>
              <w:rPr>
                <w:rFonts w:ascii="Arial" w:eastAsia="Times New Roman" w:hAnsi="Arial" w:cs="Arial"/>
                <w:color w:val="000000"/>
                <w:sz w:val="20"/>
                <w:szCs w:val="20"/>
              </w:rPr>
            </w:pPr>
            <w:r w:rsidRPr="00A43702">
              <w:rPr>
                <w:rFonts w:ascii="Arial" w:hAnsi="Arial" w:cs="Arial"/>
                <w:sz w:val="20"/>
                <w:szCs w:val="20"/>
              </w:rPr>
              <w:t>31.</w:t>
            </w:r>
            <w:r>
              <w:rPr>
                <w:rFonts w:ascii="Arial" w:hAnsi="Arial" w:cs="Arial"/>
                <w:sz w:val="20"/>
                <w:szCs w:val="20"/>
              </w:rPr>
              <w:t>4</w:t>
            </w:r>
            <w:r w:rsidRPr="00A43702">
              <w:rPr>
                <w:rFonts w:ascii="Arial" w:hAnsi="Arial" w:cs="Arial"/>
                <w:sz w:val="20"/>
                <w:szCs w:val="20"/>
              </w:rPr>
              <w:t xml:space="preserve"> </w:t>
            </w:r>
          </w:p>
        </w:tc>
      </w:tr>
    </w:tbl>
    <w:p w14:paraId="1D6669D7" w14:textId="77777777" w:rsidR="008C676E" w:rsidRPr="00A43702" w:rsidRDefault="008C676E" w:rsidP="008C676E">
      <w:pPr>
        <w:spacing w:after="0"/>
        <w:jc w:val="both"/>
        <w:rPr>
          <w:rFonts w:ascii="Arial" w:hAnsi="Arial" w:cs="Arial"/>
          <w:sz w:val="20"/>
          <w:szCs w:val="20"/>
        </w:rPr>
      </w:pPr>
    </w:p>
    <w:p w14:paraId="3123A92F" w14:textId="77777777" w:rsidR="008C676E" w:rsidRPr="00A43702" w:rsidRDefault="008C676E" w:rsidP="008C676E">
      <w:pPr>
        <w:spacing w:after="0"/>
        <w:jc w:val="both"/>
        <w:rPr>
          <w:rFonts w:ascii="Arial" w:hAnsi="Arial" w:cs="Arial"/>
          <w:i/>
          <w:iCs/>
          <w:sz w:val="20"/>
          <w:szCs w:val="20"/>
          <w:lang w:eastAsia="en-GB"/>
        </w:rPr>
      </w:pPr>
    </w:p>
    <w:p w14:paraId="401E4737" w14:textId="77777777" w:rsidR="008C676E" w:rsidRPr="006160B8" w:rsidRDefault="008C676E" w:rsidP="008C676E">
      <w:pPr>
        <w:spacing w:after="0"/>
        <w:jc w:val="both"/>
        <w:rPr>
          <w:rFonts w:ascii="Arial" w:hAnsi="Arial" w:cs="Arial"/>
          <w:sz w:val="20"/>
          <w:szCs w:val="20"/>
        </w:rPr>
      </w:pPr>
      <w:r w:rsidRPr="006160B8">
        <w:rPr>
          <w:rFonts w:ascii="Arial" w:hAnsi="Arial" w:cs="Arial"/>
          <w:sz w:val="20"/>
          <w:szCs w:val="20"/>
        </w:rPr>
        <w:lastRenderedPageBreak/>
        <w:t xml:space="preserve">The above tables reconcile segment adjusted operating profit/(loss) to adjusted EBITDA, which excludes separately disclosed acquisition and other costs, to the standard profit measure under IFRS (Operating Profit). This is the Group’s Alternative Profit Measure used when discussing the performance of the Group. The Directors believe that adjusted EBITDA and operating profit is the most appropriate approach for ascertaining the underlying trading performance and trends as it reflects the measures used internally by senior management for all discussions of performance </w:t>
      </w:r>
      <w:proofErr w:type="gramStart"/>
      <w:r w:rsidRPr="006160B8">
        <w:rPr>
          <w:rFonts w:ascii="Arial" w:hAnsi="Arial" w:cs="Arial"/>
          <w:sz w:val="20"/>
          <w:szCs w:val="20"/>
        </w:rPr>
        <w:t>and also</w:t>
      </w:r>
      <w:proofErr w:type="gramEnd"/>
      <w:r w:rsidRPr="006160B8">
        <w:rPr>
          <w:rFonts w:ascii="Arial" w:hAnsi="Arial" w:cs="Arial"/>
          <w:sz w:val="20"/>
          <w:szCs w:val="20"/>
        </w:rPr>
        <w:t xml:space="preserve"> reflects the starting profit measure when calculating the Group’s banking covenants. </w:t>
      </w:r>
    </w:p>
    <w:p w14:paraId="649EEC55" w14:textId="77777777" w:rsidR="008C676E" w:rsidRPr="006160B8" w:rsidRDefault="008C676E" w:rsidP="008C676E">
      <w:pPr>
        <w:spacing w:after="0"/>
        <w:jc w:val="both"/>
        <w:rPr>
          <w:rFonts w:ascii="Arial" w:hAnsi="Arial" w:cs="Arial"/>
          <w:sz w:val="20"/>
          <w:szCs w:val="20"/>
        </w:rPr>
      </w:pPr>
    </w:p>
    <w:p w14:paraId="3FDD7389" w14:textId="77777777" w:rsidR="008C676E" w:rsidRPr="006160B8" w:rsidRDefault="008C676E" w:rsidP="008C676E">
      <w:pPr>
        <w:spacing w:after="0"/>
        <w:jc w:val="both"/>
        <w:rPr>
          <w:rFonts w:ascii="Arial" w:hAnsi="Arial" w:cs="Arial"/>
          <w:sz w:val="20"/>
          <w:szCs w:val="20"/>
        </w:rPr>
      </w:pPr>
      <w:r w:rsidRPr="006160B8">
        <w:rPr>
          <w:rFonts w:ascii="Arial" w:hAnsi="Arial" w:cs="Arial"/>
          <w:sz w:val="20"/>
          <w:szCs w:val="20"/>
        </w:rPr>
        <w:t xml:space="preserve">Adjusted EBITDA is not defined by IFRS and therefore may not be directly comparable with other companies’ adjusted profit measures. It is not intended to be a substitute, or superior to, IFRS measurements of profit. </w:t>
      </w:r>
    </w:p>
    <w:p w14:paraId="2DA635DF" w14:textId="77777777" w:rsidR="008C676E" w:rsidRPr="006160B8" w:rsidRDefault="008C676E" w:rsidP="008C676E">
      <w:pPr>
        <w:spacing w:after="0"/>
        <w:jc w:val="both"/>
        <w:rPr>
          <w:rFonts w:ascii="Arial" w:hAnsi="Arial" w:cs="Arial"/>
          <w:i/>
          <w:iCs/>
          <w:sz w:val="20"/>
          <w:szCs w:val="20"/>
        </w:rPr>
      </w:pPr>
    </w:p>
    <w:p w14:paraId="5C6D8374" w14:textId="77777777" w:rsidR="008C676E" w:rsidRPr="00F72BA1" w:rsidRDefault="008C676E" w:rsidP="008C676E">
      <w:pPr>
        <w:spacing w:after="0"/>
        <w:jc w:val="both"/>
        <w:rPr>
          <w:rFonts w:ascii="Arial" w:hAnsi="Arial" w:cs="Arial"/>
          <w:b/>
          <w:bCs/>
          <w:i/>
          <w:iCs/>
          <w:sz w:val="20"/>
          <w:szCs w:val="20"/>
        </w:rPr>
      </w:pPr>
      <w:r w:rsidRPr="00F72BA1">
        <w:rPr>
          <w:rFonts w:ascii="Arial" w:hAnsi="Arial" w:cs="Arial"/>
          <w:b/>
          <w:bCs/>
          <w:i/>
          <w:iCs/>
          <w:sz w:val="20"/>
          <w:szCs w:val="20"/>
        </w:rPr>
        <w:t>Major customers</w:t>
      </w:r>
    </w:p>
    <w:p w14:paraId="2E532184" w14:textId="77777777" w:rsidR="004E3A6E" w:rsidRPr="006160B8" w:rsidRDefault="004E3A6E" w:rsidP="008C676E">
      <w:pPr>
        <w:spacing w:after="0"/>
        <w:jc w:val="both"/>
        <w:rPr>
          <w:rFonts w:ascii="Arial" w:hAnsi="Arial" w:cs="Arial"/>
          <w:b/>
          <w:bCs/>
          <w:sz w:val="20"/>
          <w:szCs w:val="20"/>
        </w:rPr>
      </w:pPr>
    </w:p>
    <w:p w14:paraId="7058D201" w14:textId="77777777" w:rsidR="008C676E" w:rsidRPr="006160B8" w:rsidRDefault="008C676E" w:rsidP="008C676E">
      <w:pPr>
        <w:spacing w:after="0" w:line="240" w:lineRule="auto"/>
        <w:jc w:val="both"/>
        <w:rPr>
          <w:rFonts w:ascii="Arial" w:hAnsi="Arial" w:cs="Arial"/>
          <w:sz w:val="20"/>
          <w:szCs w:val="20"/>
        </w:rPr>
      </w:pPr>
      <w:r w:rsidRPr="006160B8">
        <w:rPr>
          <w:rFonts w:ascii="Arial" w:hAnsi="Arial" w:cs="Arial"/>
          <w:sz w:val="20"/>
          <w:szCs w:val="20"/>
        </w:rPr>
        <w:t>For the year ended 31 March 2024, no customers (2023: nil) individually accounted for more than 10% of the Group’s total revenue.</w:t>
      </w:r>
    </w:p>
    <w:p w14:paraId="1A7D5A8A" w14:textId="77777777" w:rsidR="008C676E" w:rsidRPr="00A43702" w:rsidRDefault="008C676E" w:rsidP="008C676E">
      <w:pPr>
        <w:spacing w:after="0" w:line="240" w:lineRule="auto"/>
        <w:jc w:val="both"/>
        <w:rPr>
          <w:rFonts w:ascii="Arial" w:eastAsia="Times New Roman" w:hAnsi="Arial" w:cs="Arial"/>
          <w:b/>
          <w:bCs/>
          <w:color w:val="000000"/>
          <w:sz w:val="20"/>
          <w:szCs w:val="20"/>
          <w:lang w:eastAsia="en-GB"/>
        </w:rPr>
      </w:pPr>
    </w:p>
    <w:p w14:paraId="7367A957" w14:textId="77777777" w:rsidR="00B90303" w:rsidRPr="00A43702" w:rsidRDefault="00B90303" w:rsidP="00B90303">
      <w:pPr>
        <w:spacing w:after="0" w:line="240" w:lineRule="auto"/>
        <w:jc w:val="both"/>
        <w:rPr>
          <w:rFonts w:ascii="Arial" w:eastAsia="Times New Roman" w:hAnsi="Arial" w:cs="Arial"/>
          <w:b/>
          <w:bCs/>
          <w:color w:val="000000"/>
          <w:sz w:val="20"/>
          <w:szCs w:val="20"/>
          <w:lang w:eastAsia="en-GB"/>
        </w:rPr>
      </w:pPr>
    </w:p>
    <w:p w14:paraId="6AD872DA" w14:textId="62643134" w:rsidR="00B90303" w:rsidRPr="006B5E53" w:rsidRDefault="00A61E77" w:rsidP="00B90303">
      <w:pPr>
        <w:spacing w:after="0" w:line="240" w:lineRule="auto"/>
        <w:jc w:val="both"/>
        <w:rPr>
          <w:rFonts w:ascii="Arial" w:eastAsia="Times New Roman" w:hAnsi="Arial" w:cs="Arial"/>
          <w:b/>
          <w:bCs/>
          <w:color w:val="4C4C4E"/>
          <w:sz w:val="20"/>
          <w:szCs w:val="20"/>
          <w:lang w:eastAsia="en-GB"/>
        </w:rPr>
      </w:pPr>
      <w:r>
        <w:rPr>
          <w:rFonts w:ascii="Arial" w:eastAsia="Times New Roman" w:hAnsi="Arial" w:cs="Arial"/>
          <w:b/>
          <w:bCs/>
          <w:color w:val="000000"/>
          <w:sz w:val="20"/>
          <w:szCs w:val="20"/>
          <w:lang w:eastAsia="en-GB"/>
        </w:rPr>
        <w:t>3</w:t>
      </w:r>
      <w:r w:rsidR="00B90303" w:rsidRPr="006B5E53">
        <w:rPr>
          <w:rFonts w:ascii="Arial" w:eastAsia="Times New Roman" w:hAnsi="Arial" w:cs="Arial"/>
          <w:b/>
          <w:bCs/>
          <w:color w:val="000000"/>
          <w:sz w:val="20"/>
          <w:szCs w:val="20"/>
          <w:lang w:eastAsia="en-GB"/>
        </w:rPr>
        <w:t>. Adjusting items</w:t>
      </w:r>
      <w:r w:rsidR="00D670EB">
        <w:rPr>
          <w:rFonts w:ascii="Arial" w:eastAsia="Times New Roman" w:hAnsi="Arial" w:cs="Arial"/>
          <w:b/>
          <w:bCs/>
          <w:color w:val="000000"/>
          <w:sz w:val="20"/>
          <w:szCs w:val="20"/>
          <w:lang w:eastAsia="en-GB"/>
        </w:rPr>
        <w:t xml:space="preserve"> on continuing operations </w:t>
      </w:r>
      <w:r w:rsidR="00B90303" w:rsidRPr="006B5E53">
        <w:rPr>
          <w:rFonts w:ascii="Arial" w:eastAsia="Times New Roman" w:hAnsi="Arial" w:cs="Arial"/>
          <w:b/>
          <w:bCs/>
          <w:color w:val="000000"/>
          <w:sz w:val="20"/>
          <w:szCs w:val="20"/>
          <w:lang w:eastAsia="en-GB"/>
        </w:rPr>
        <w:t xml:space="preserve"> </w:t>
      </w:r>
    </w:p>
    <w:p w14:paraId="0CBB05F7" w14:textId="77777777" w:rsidR="00B90303" w:rsidRPr="004D7811" w:rsidRDefault="00B90303" w:rsidP="00B90303">
      <w:pPr>
        <w:spacing w:after="0" w:line="240" w:lineRule="auto"/>
        <w:jc w:val="both"/>
        <w:rPr>
          <w:rFonts w:ascii="Arial" w:eastAsia="Times New Roman" w:hAnsi="Arial" w:cs="Arial"/>
          <w:b/>
          <w:bCs/>
          <w:color w:val="4C4C4E"/>
          <w:sz w:val="20"/>
          <w:szCs w:val="20"/>
          <w:highlight w:val="yellow"/>
          <w:lang w:eastAsia="en-GB"/>
        </w:rPr>
      </w:pPr>
    </w:p>
    <w:p w14:paraId="7A02544C" w14:textId="6DF73EE3" w:rsidR="008C676E" w:rsidRDefault="008C676E" w:rsidP="008C676E">
      <w:pPr>
        <w:spacing w:after="0" w:line="240" w:lineRule="auto"/>
        <w:jc w:val="both"/>
        <w:rPr>
          <w:rFonts w:ascii="Arial" w:hAnsi="Arial" w:cs="Arial"/>
          <w:sz w:val="20"/>
          <w:szCs w:val="20"/>
        </w:rPr>
      </w:pPr>
      <w:r w:rsidRPr="00712602">
        <w:rPr>
          <w:rFonts w:ascii="Arial" w:hAnsi="Arial" w:cs="Arial"/>
          <w:sz w:val="20"/>
          <w:szCs w:val="20"/>
        </w:rPr>
        <w:t xml:space="preserve">Due to the nature of acquisition and other costs in relation to each acquisition and the non-cash element of certain charges, the Directors believe that adjusted operating profit, adjusted EBITDA and adjusted measures of profit before tax and earnings per share provide shareholders with a more appropriate representation of the underlying earnings derived from the Group’s business and a more comparable view of the year-on-year underlying financial performance of the Group. The adjusting items </w:t>
      </w:r>
      <w:r w:rsidR="004E3A6E">
        <w:rPr>
          <w:rFonts w:ascii="Arial" w:hAnsi="Arial" w:cs="Arial"/>
          <w:sz w:val="20"/>
          <w:szCs w:val="20"/>
        </w:rPr>
        <w:t xml:space="preserve">shown on the consolidated statement of comprehensive income </w:t>
      </w:r>
      <w:r w:rsidRPr="00712602">
        <w:rPr>
          <w:rFonts w:ascii="Arial" w:hAnsi="Arial" w:cs="Arial"/>
          <w:sz w:val="20"/>
          <w:szCs w:val="20"/>
        </w:rPr>
        <w:t>and the rationale behind the Director’s view that these should be included as adjusting items are detailed below:</w:t>
      </w:r>
    </w:p>
    <w:p w14:paraId="4668EF4E" w14:textId="77777777" w:rsidR="008C676E" w:rsidRPr="004D7811" w:rsidRDefault="008C676E" w:rsidP="008C676E">
      <w:pPr>
        <w:spacing w:after="0" w:line="240" w:lineRule="auto"/>
        <w:jc w:val="both"/>
        <w:rPr>
          <w:rFonts w:ascii="Arial" w:hAnsi="Arial" w:cs="Arial"/>
          <w:sz w:val="20"/>
          <w:szCs w:val="20"/>
          <w:highlight w:val="yellow"/>
        </w:rPr>
      </w:pPr>
    </w:p>
    <w:tbl>
      <w:tblPr>
        <w:tblStyle w:val="TableGrid"/>
        <w:tblW w:w="0" w:type="auto"/>
        <w:tblLook w:val="04A0" w:firstRow="1" w:lastRow="0" w:firstColumn="1" w:lastColumn="0" w:noHBand="0" w:noVBand="1"/>
      </w:tblPr>
      <w:tblGrid>
        <w:gridCol w:w="1980"/>
        <w:gridCol w:w="7756"/>
      </w:tblGrid>
      <w:tr w:rsidR="008C676E" w:rsidRPr="004D7811" w14:paraId="33DA00D5" w14:textId="77777777" w:rsidTr="00AB1DC6">
        <w:trPr>
          <w:trHeight w:val="283"/>
        </w:trPr>
        <w:tc>
          <w:tcPr>
            <w:tcW w:w="1980" w:type="dxa"/>
          </w:tcPr>
          <w:p w14:paraId="42B15B60" w14:textId="77777777" w:rsidR="008C676E" w:rsidRPr="005668FE" w:rsidRDefault="008C676E" w:rsidP="00AB1DC6">
            <w:pPr>
              <w:jc w:val="both"/>
              <w:rPr>
                <w:rFonts w:ascii="Arial" w:hAnsi="Arial" w:cs="Arial"/>
                <w:b/>
                <w:bCs/>
                <w:sz w:val="20"/>
                <w:szCs w:val="20"/>
              </w:rPr>
            </w:pPr>
            <w:r w:rsidRPr="005668FE">
              <w:rPr>
                <w:rFonts w:ascii="Arial" w:hAnsi="Arial" w:cs="Arial"/>
                <w:b/>
                <w:bCs/>
                <w:sz w:val="20"/>
                <w:szCs w:val="20"/>
              </w:rPr>
              <w:t>Adjusting item</w:t>
            </w:r>
          </w:p>
        </w:tc>
        <w:tc>
          <w:tcPr>
            <w:tcW w:w="7756" w:type="dxa"/>
          </w:tcPr>
          <w:p w14:paraId="290B5C20" w14:textId="77777777" w:rsidR="008C676E" w:rsidRPr="004D7811" w:rsidRDefault="008C676E" w:rsidP="00AB1DC6">
            <w:pPr>
              <w:jc w:val="both"/>
              <w:rPr>
                <w:rFonts w:ascii="Arial" w:hAnsi="Arial" w:cs="Arial"/>
                <w:b/>
                <w:bCs/>
                <w:sz w:val="20"/>
                <w:szCs w:val="20"/>
                <w:highlight w:val="yellow"/>
              </w:rPr>
            </w:pPr>
            <w:r w:rsidRPr="005668FE">
              <w:rPr>
                <w:rFonts w:ascii="Arial" w:hAnsi="Arial" w:cs="Arial"/>
                <w:b/>
                <w:bCs/>
                <w:sz w:val="20"/>
                <w:szCs w:val="20"/>
              </w:rPr>
              <w:t>Rationale</w:t>
            </w:r>
          </w:p>
        </w:tc>
      </w:tr>
      <w:tr w:rsidR="008C676E" w:rsidRPr="004D7811" w14:paraId="0548ADF0" w14:textId="77777777" w:rsidTr="00AB1DC6">
        <w:tc>
          <w:tcPr>
            <w:tcW w:w="1980" w:type="dxa"/>
          </w:tcPr>
          <w:p w14:paraId="4D5EB09D" w14:textId="77777777" w:rsidR="008C676E" w:rsidRPr="005668FE" w:rsidRDefault="008C676E" w:rsidP="00AB1DC6">
            <w:pPr>
              <w:rPr>
                <w:rFonts w:ascii="Arial" w:hAnsi="Arial" w:cs="Arial"/>
                <w:sz w:val="20"/>
                <w:szCs w:val="20"/>
              </w:rPr>
            </w:pPr>
            <w:r w:rsidRPr="006160B8">
              <w:rPr>
                <w:rFonts w:ascii="Arial" w:hAnsi="Arial" w:cs="Arial"/>
                <w:sz w:val="20"/>
                <w:szCs w:val="20"/>
              </w:rPr>
              <w:t>Acquisition and disposal costs</w:t>
            </w:r>
            <w:r>
              <w:rPr>
                <w:rFonts w:ascii="Arial" w:hAnsi="Arial" w:cs="Arial"/>
                <w:sz w:val="20"/>
                <w:szCs w:val="20"/>
              </w:rPr>
              <w:t xml:space="preserve"> </w:t>
            </w:r>
            <w:r w:rsidRPr="006160B8">
              <w:rPr>
                <w:rFonts w:ascii="Arial" w:hAnsi="Arial" w:cs="Arial"/>
                <w:sz w:val="20"/>
                <w:szCs w:val="20"/>
              </w:rPr>
              <w:t>(including strategic review costs)</w:t>
            </w:r>
          </w:p>
        </w:tc>
        <w:tc>
          <w:tcPr>
            <w:tcW w:w="7756" w:type="dxa"/>
          </w:tcPr>
          <w:p w14:paraId="44AA4A95" w14:textId="77777777" w:rsidR="008C676E" w:rsidRDefault="008C676E" w:rsidP="00AB1DC6">
            <w:pPr>
              <w:jc w:val="both"/>
              <w:rPr>
                <w:rFonts w:ascii="Arial" w:hAnsi="Arial" w:cs="Arial"/>
                <w:sz w:val="20"/>
                <w:szCs w:val="20"/>
              </w:rPr>
            </w:pPr>
            <w:r w:rsidRPr="00C745C8">
              <w:rPr>
                <w:rFonts w:ascii="Arial" w:hAnsi="Arial" w:cs="Arial"/>
                <w:sz w:val="20"/>
                <w:szCs w:val="20"/>
              </w:rPr>
              <w:t>Acquisition and disposal costs (including strategic review costs) totalled £5.1 million in the year (</w:t>
            </w:r>
            <w:r>
              <w:rPr>
                <w:rFonts w:ascii="Arial" w:hAnsi="Arial" w:cs="Arial"/>
                <w:sz w:val="20"/>
                <w:szCs w:val="20"/>
              </w:rPr>
              <w:t>202</w:t>
            </w:r>
            <w:r w:rsidRPr="00C745C8">
              <w:rPr>
                <w:rFonts w:ascii="Arial" w:hAnsi="Arial" w:cs="Arial"/>
                <w:sz w:val="20"/>
                <w:szCs w:val="20"/>
              </w:rPr>
              <w:t xml:space="preserve">3: £1.4 million). During the first half of the year the Group undertook a strategic review to assess the merits of a potential separation of certain businesses across its TIC and GRC Divisions. Strategic </w:t>
            </w:r>
            <w:r>
              <w:rPr>
                <w:rFonts w:ascii="Arial" w:hAnsi="Arial" w:cs="Arial"/>
                <w:sz w:val="20"/>
                <w:szCs w:val="20"/>
              </w:rPr>
              <w:t>r</w:t>
            </w:r>
            <w:r w:rsidRPr="00C745C8">
              <w:rPr>
                <w:rFonts w:ascii="Arial" w:hAnsi="Arial" w:cs="Arial"/>
                <w:sz w:val="20"/>
                <w:szCs w:val="20"/>
              </w:rPr>
              <w:t>eview costs include professional fees, legal fees and staff costs. These costs are non-recurring and not considered to be reflective of the underlying trading performance.</w:t>
            </w:r>
          </w:p>
          <w:p w14:paraId="53FBFDE9" w14:textId="77777777" w:rsidR="008C676E" w:rsidRPr="00D83746" w:rsidRDefault="008C676E" w:rsidP="00AB1DC6">
            <w:pPr>
              <w:jc w:val="both"/>
              <w:rPr>
                <w:rFonts w:ascii="Arial" w:hAnsi="Arial" w:cs="Arial"/>
                <w:sz w:val="20"/>
                <w:szCs w:val="20"/>
              </w:rPr>
            </w:pPr>
          </w:p>
        </w:tc>
      </w:tr>
      <w:tr w:rsidR="008C676E" w:rsidRPr="004D7811" w14:paraId="6E177513" w14:textId="77777777" w:rsidTr="00AB1DC6">
        <w:tc>
          <w:tcPr>
            <w:tcW w:w="1980" w:type="dxa"/>
          </w:tcPr>
          <w:p w14:paraId="50457EF1" w14:textId="77777777" w:rsidR="008C676E" w:rsidRPr="005668FE" w:rsidRDefault="008C676E" w:rsidP="00AB1DC6">
            <w:pPr>
              <w:jc w:val="both"/>
              <w:rPr>
                <w:rFonts w:ascii="Arial" w:hAnsi="Arial" w:cs="Arial"/>
                <w:sz w:val="20"/>
                <w:szCs w:val="20"/>
              </w:rPr>
            </w:pPr>
            <w:r w:rsidRPr="005668FE">
              <w:rPr>
                <w:rFonts w:ascii="Arial" w:hAnsi="Arial" w:cs="Arial"/>
                <w:sz w:val="20"/>
                <w:szCs w:val="20"/>
              </w:rPr>
              <w:t>Restructuring costs</w:t>
            </w:r>
          </w:p>
        </w:tc>
        <w:tc>
          <w:tcPr>
            <w:tcW w:w="7756" w:type="dxa"/>
            <w:vAlign w:val="bottom"/>
          </w:tcPr>
          <w:p w14:paraId="1523CA95" w14:textId="77777777" w:rsidR="008C676E" w:rsidRDefault="008C676E" w:rsidP="00AB1DC6">
            <w:pPr>
              <w:jc w:val="both"/>
              <w:rPr>
                <w:rFonts w:ascii="Arial" w:hAnsi="Arial" w:cs="Arial"/>
                <w:sz w:val="20"/>
                <w:szCs w:val="20"/>
              </w:rPr>
            </w:pPr>
            <w:r w:rsidRPr="00C745C8">
              <w:rPr>
                <w:rFonts w:ascii="Arial" w:hAnsi="Arial" w:cs="Arial"/>
                <w:sz w:val="20"/>
                <w:szCs w:val="20"/>
              </w:rPr>
              <w:t>Restructuring costs, being the costs associated with the integration of acquisitions, remain a key component of delivering shareholder value by increasing returns made on acquired businesses.</w:t>
            </w:r>
            <w:r>
              <w:rPr>
                <w:rFonts w:ascii="Arial" w:hAnsi="Arial" w:cs="Arial"/>
                <w:sz w:val="20"/>
                <w:szCs w:val="20"/>
              </w:rPr>
              <w:t xml:space="preserve"> </w:t>
            </w:r>
            <w:r w:rsidRPr="000A3BA4">
              <w:rPr>
                <w:rFonts w:ascii="Arial" w:hAnsi="Arial" w:cs="Arial"/>
                <w:sz w:val="20"/>
                <w:szCs w:val="20"/>
              </w:rPr>
              <w:t>Restructuring costs for the year were £14.6 million (2023: £15.2 million) reflecting the three key integration programmes within Occupational Health, Fire and Security and Water &amp; Air Hygiene.</w:t>
            </w:r>
            <w:r w:rsidRPr="00C745C8">
              <w:rPr>
                <w:rFonts w:ascii="Arial" w:hAnsi="Arial" w:cs="Arial"/>
                <w:sz w:val="20"/>
                <w:szCs w:val="20"/>
              </w:rPr>
              <w:t xml:space="preserve"> These programmes are now being finalised and we expect all restructuring expense to have ceased by 30 September 2024. </w:t>
            </w:r>
          </w:p>
          <w:p w14:paraId="191F603E" w14:textId="77777777" w:rsidR="008C676E" w:rsidRDefault="008C676E" w:rsidP="00AB1DC6">
            <w:pPr>
              <w:jc w:val="both"/>
              <w:rPr>
                <w:rFonts w:ascii="Arial" w:hAnsi="Arial" w:cs="Arial"/>
                <w:sz w:val="20"/>
                <w:szCs w:val="20"/>
              </w:rPr>
            </w:pPr>
          </w:p>
          <w:p w14:paraId="63BBE125" w14:textId="77777777" w:rsidR="008C676E" w:rsidRPr="00D83746" w:rsidRDefault="008C676E" w:rsidP="00AB1DC6">
            <w:pPr>
              <w:jc w:val="both"/>
              <w:rPr>
                <w:rFonts w:ascii="Arial" w:hAnsi="Arial" w:cs="Arial"/>
                <w:sz w:val="20"/>
                <w:szCs w:val="20"/>
              </w:rPr>
            </w:pPr>
            <w:r w:rsidRPr="00C745C8">
              <w:rPr>
                <w:rFonts w:ascii="Arial" w:hAnsi="Arial" w:cs="Arial"/>
                <w:sz w:val="20"/>
                <w:szCs w:val="20"/>
              </w:rPr>
              <w:t>Restructuring costs primarily consist of</w:t>
            </w:r>
            <w:r>
              <w:rPr>
                <w:rFonts w:ascii="Arial" w:hAnsi="Arial" w:cs="Arial"/>
                <w:sz w:val="20"/>
                <w:szCs w:val="20"/>
              </w:rPr>
              <w:t>:</w:t>
            </w:r>
          </w:p>
          <w:p w14:paraId="39B9323E" w14:textId="77777777" w:rsidR="008C676E" w:rsidRPr="00C745C8" w:rsidRDefault="008C676E" w:rsidP="008C676E">
            <w:pPr>
              <w:pStyle w:val="ListParagraph"/>
              <w:numPr>
                <w:ilvl w:val="0"/>
                <w:numId w:val="36"/>
              </w:numPr>
              <w:ind w:left="357" w:hanging="357"/>
              <w:jc w:val="both"/>
              <w:rPr>
                <w:rFonts w:ascii="Arial" w:hAnsi="Arial" w:cs="Arial"/>
                <w:sz w:val="20"/>
                <w:szCs w:val="20"/>
              </w:rPr>
            </w:pPr>
            <w:r w:rsidRPr="00C745C8">
              <w:rPr>
                <w:rFonts w:ascii="Arial" w:hAnsi="Arial" w:cs="Arial"/>
                <w:sz w:val="20"/>
                <w:szCs w:val="20"/>
              </w:rPr>
              <w:t xml:space="preserve">The cost of duplicated staff roles during the integration and restructuring </w:t>
            </w:r>
            <w:proofErr w:type="gramStart"/>
            <w:r w:rsidRPr="00C745C8">
              <w:rPr>
                <w:rFonts w:ascii="Arial" w:hAnsi="Arial" w:cs="Arial"/>
                <w:sz w:val="20"/>
                <w:szCs w:val="20"/>
              </w:rPr>
              <w:t>period;</w:t>
            </w:r>
            <w:proofErr w:type="gramEnd"/>
          </w:p>
          <w:p w14:paraId="10C93A49" w14:textId="1745990B" w:rsidR="008C676E" w:rsidRPr="00C745C8" w:rsidRDefault="008C676E" w:rsidP="008C676E">
            <w:pPr>
              <w:pStyle w:val="ListParagraph"/>
              <w:numPr>
                <w:ilvl w:val="0"/>
                <w:numId w:val="36"/>
              </w:numPr>
              <w:ind w:left="357" w:hanging="357"/>
              <w:jc w:val="both"/>
              <w:rPr>
                <w:rFonts w:ascii="Arial" w:hAnsi="Arial" w:cs="Arial"/>
                <w:sz w:val="20"/>
                <w:szCs w:val="20"/>
              </w:rPr>
            </w:pPr>
            <w:r w:rsidRPr="00C745C8">
              <w:rPr>
                <w:rFonts w:ascii="Arial" w:hAnsi="Arial" w:cs="Arial"/>
                <w:sz w:val="20"/>
                <w:szCs w:val="20"/>
              </w:rPr>
              <w:t>The</w:t>
            </w:r>
            <w:r w:rsidR="007A42A4">
              <w:rPr>
                <w:rFonts w:ascii="Arial" w:hAnsi="Arial" w:cs="Arial"/>
                <w:sz w:val="20"/>
                <w:szCs w:val="20"/>
              </w:rPr>
              <w:t xml:space="preserve"> implementation and </w:t>
            </w:r>
            <w:r w:rsidRPr="00C745C8">
              <w:rPr>
                <w:rFonts w:ascii="Arial" w:hAnsi="Arial" w:cs="Arial"/>
                <w:sz w:val="20"/>
                <w:szCs w:val="20"/>
              </w:rPr>
              <w:t xml:space="preserve">redundancy cost of </w:t>
            </w:r>
            <w:r w:rsidR="007A42A4">
              <w:rPr>
                <w:rFonts w:ascii="Arial" w:hAnsi="Arial" w:cs="Arial"/>
                <w:sz w:val="20"/>
                <w:szCs w:val="20"/>
              </w:rPr>
              <w:t xml:space="preserve">delivering </w:t>
            </w:r>
            <w:r w:rsidRPr="00C745C8">
              <w:rPr>
                <w:rFonts w:ascii="Arial" w:hAnsi="Arial" w:cs="Arial"/>
                <w:sz w:val="20"/>
                <w:szCs w:val="20"/>
              </w:rPr>
              <w:t>the post completion staff structures; and</w:t>
            </w:r>
          </w:p>
          <w:p w14:paraId="12CDBA1F" w14:textId="77777777" w:rsidR="008C676E" w:rsidRDefault="008C676E" w:rsidP="008C676E">
            <w:pPr>
              <w:pStyle w:val="ListParagraph"/>
              <w:numPr>
                <w:ilvl w:val="0"/>
                <w:numId w:val="36"/>
              </w:numPr>
              <w:ind w:left="357" w:hanging="357"/>
              <w:jc w:val="both"/>
              <w:rPr>
                <w:rFonts w:ascii="Arial" w:hAnsi="Arial" w:cs="Arial"/>
                <w:sz w:val="20"/>
                <w:szCs w:val="20"/>
              </w:rPr>
            </w:pPr>
            <w:r w:rsidRPr="00C745C8">
              <w:rPr>
                <w:rFonts w:ascii="Arial" w:hAnsi="Arial" w:cs="Arial"/>
                <w:sz w:val="20"/>
                <w:szCs w:val="20"/>
              </w:rPr>
              <w:t>IT costs associated with the integration and transfer to Group IT systems, including costs of third</w:t>
            </w:r>
            <w:r>
              <w:rPr>
                <w:rFonts w:ascii="Arial" w:hAnsi="Arial" w:cs="Arial"/>
                <w:sz w:val="20"/>
                <w:szCs w:val="20"/>
              </w:rPr>
              <w:t xml:space="preserve">- </w:t>
            </w:r>
            <w:r w:rsidRPr="00C745C8">
              <w:rPr>
                <w:rFonts w:ascii="Arial" w:hAnsi="Arial" w:cs="Arial"/>
                <w:sz w:val="20"/>
                <w:szCs w:val="20"/>
              </w:rPr>
              <w:t>party software used in the delivery of customer contracts where there is a programme to transition such software to one of the Group’s existing platforms</w:t>
            </w:r>
            <w:r>
              <w:rPr>
                <w:rFonts w:ascii="Arial" w:hAnsi="Arial" w:cs="Arial"/>
                <w:sz w:val="20"/>
                <w:szCs w:val="20"/>
              </w:rPr>
              <w:t>.</w:t>
            </w:r>
          </w:p>
          <w:p w14:paraId="7969E231" w14:textId="77777777" w:rsidR="008C676E" w:rsidRPr="00D83746" w:rsidRDefault="008C676E" w:rsidP="00AB1DC6">
            <w:pPr>
              <w:jc w:val="both"/>
              <w:rPr>
                <w:rFonts w:ascii="Arial" w:hAnsi="Arial" w:cs="Arial"/>
                <w:sz w:val="20"/>
                <w:szCs w:val="20"/>
              </w:rPr>
            </w:pPr>
          </w:p>
        </w:tc>
      </w:tr>
      <w:tr w:rsidR="008C676E" w:rsidRPr="004D7811" w14:paraId="46FFB089" w14:textId="77777777" w:rsidTr="00AB1DC6">
        <w:tc>
          <w:tcPr>
            <w:tcW w:w="1980" w:type="dxa"/>
          </w:tcPr>
          <w:p w14:paraId="14F33CBC" w14:textId="77777777" w:rsidR="008C676E" w:rsidRPr="00A91D7E" w:rsidRDefault="008C676E" w:rsidP="00AB1DC6">
            <w:pPr>
              <w:rPr>
                <w:rFonts w:ascii="Arial" w:hAnsi="Arial" w:cs="Arial"/>
                <w:sz w:val="20"/>
                <w:szCs w:val="20"/>
              </w:rPr>
            </w:pPr>
            <w:r w:rsidRPr="00D26998">
              <w:rPr>
                <w:rFonts w:ascii="Arial" w:hAnsi="Arial" w:cs="Arial"/>
                <w:sz w:val="20"/>
                <w:szCs w:val="20"/>
              </w:rPr>
              <w:t>Amortisation of acquired intangibles</w:t>
            </w:r>
          </w:p>
        </w:tc>
        <w:tc>
          <w:tcPr>
            <w:tcW w:w="7756" w:type="dxa"/>
          </w:tcPr>
          <w:p w14:paraId="526DC240" w14:textId="77777777" w:rsidR="008C676E" w:rsidRDefault="008C676E" w:rsidP="00AB1DC6">
            <w:pPr>
              <w:jc w:val="both"/>
              <w:rPr>
                <w:rFonts w:ascii="Arial" w:hAnsi="Arial" w:cs="Arial"/>
                <w:sz w:val="20"/>
                <w:szCs w:val="20"/>
              </w:rPr>
            </w:pPr>
            <w:r w:rsidRPr="000C4725">
              <w:rPr>
                <w:rFonts w:ascii="Arial" w:hAnsi="Arial" w:cs="Arial"/>
                <w:sz w:val="20"/>
                <w:szCs w:val="20"/>
              </w:rPr>
              <w:t>The amortisation charge is primarily in relation to acquired intangible assets resulting from fair value adjustments under IFRS</w:t>
            </w:r>
            <w:r>
              <w:rPr>
                <w:rFonts w:ascii="Arial" w:hAnsi="Arial" w:cs="Arial"/>
                <w:sz w:val="20"/>
                <w:szCs w:val="20"/>
              </w:rPr>
              <w:t xml:space="preserve"> </w:t>
            </w:r>
            <w:r w:rsidRPr="000C4725">
              <w:rPr>
                <w:rFonts w:ascii="Arial" w:hAnsi="Arial" w:cs="Arial"/>
                <w:sz w:val="20"/>
                <w:szCs w:val="20"/>
              </w:rPr>
              <w:t>3. Given the overall size of the amortisation charge and it being non</w:t>
            </w:r>
            <w:r>
              <w:rPr>
                <w:rFonts w:ascii="Arial" w:hAnsi="Arial" w:cs="Arial"/>
                <w:sz w:val="20"/>
                <w:szCs w:val="20"/>
              </w:rPr>
              <w:t>-</w:t>
            </w:r>
            <w:r w:rsidRPr="000C4725">
              <w:rPr>
                <w:rFonts w:ascii="Arial" w:hAnsi="Arial" w:cs="Arial"/>
                <w:sz w:val="20"/>
                <w:szCs w:val="20"/>
              </w:rPr>
              <w:t>cash in nature, this cost is adjusted for in deriving the Group's alternative performance measures. For transparency, we note that the Group does not similarly adjust for the related revenue and results generated from its business combinations in its alternative profit measures.</w:t>
            </w:r>
          </w:p>
          <w:p w14:paraId="57C1F5CD" w14:textId="77777777" w:rsidR="008C676E" w:rsidRPr="00A91D7E" w:rsidRDefault="008C676E" w:rsidP="00AB1DC6">
            <w:pPr>
              <w:jc w:val="both"/>
              <w:rPr>
                <w:rFonts w:ascii="Arial" w:hAnsi="Arial" w:cs="Arial"/>
                <w:sz w:val="20"/>
                <w:szCs w:val="20"/>
              </w:rPr>
            </w:pPr>
          </w:p>
        </w:tc>
      </w:tr>
      <w:tr w:rsidR="008A1149" w:rsidRPr="004D7811" w14:paraId="146113FE" w14:textId="77777777" w:rsidTr="00AB1DC6">
        <w:tc>
          <w:tcPr>
            <w:tcW w:w="1980" w:type="dxa"/>
          </w:tcPr>
          <w:p w14:paraId="186C5B1F" w14:textId="6627D94E" w:rsidR="008A1149" w:rsidRPr="00D26998" w:rsidRDefault="008A1149" w:rsidP="008A1149">
            <w:pPr>
              <w:rPr>
                <w:rFonts w:ascii="Arial" w:hAnsi="Arial" w:cs="Arial"/>
                <w:sz w:val="20"/>
                <w:szCs w:val="20"/>
              </w:rPr>
            </w:pPr>
            <w:r w:rsidRPr="00BB3629">
              <w:rPr>
                <w:rFonts w:ascii="Arial" w:hAnsi="Arial" w:cs="Arial"/>
                <w:sz w:val="20"/>
                <w:szCs w:val="20"/>
              </w:rPr>
              <w:lastRenderedPageBreak/>
              <w:t>Share-based payments (excluding SAYE schemes)</w:t>
            </w:r>
            <w:r>
              <w:rPr>
                <w:rFonts w:ascii="Arial" w:hAnsi="Arial" w:cs="Arial"/>
                <w:sz w:val="20"/>
                <w:szCs w:val="20"/>
              </w:rPr>
              <w:t xml:space="preserve"> and legacy long-term incentives </w:t>
            </w:r>
          </w:p>
        </w:tc>
        <w:tc>
          <w:tcPr>
            <w:tcW w:w="7756" w:type="dxa"/>
          </w:tcPr>
          <w:p w14:paraId="21C86565" w14:textId="77777777" w:rsidR="008A1149" w:rsidRDefault="008A1149" w:rsidP="008A1149">
            <w:pPr>
              <w:jc w:val="both"/>
              <w:rPr>
                <w:rFonts w:ascii="Arial" w:hAnsi="Arial" w:cs="Arial"/>
                <w:sz w:val="20"/>
                <w:szCs w:val="20"/>
              </w:rPr>
            </w:pPr>
            <w:r w:rsidRPr="00BB3629">
              <w:rPr>
                <w:rFonts w:ascii="Arial" w:hAnsi="Arial" w:cs="Arial"/>
                <w:sz w:val="20"/>
                <w:szCs w:val="20"/>
              </w:rPr>
              <w:t>Charges associated with share-based payment schemes (excluding SAYE schemes which remain are classed as administrative expenses)</w:t>
            </w:r>
            <w:r>
              <w:rPr>
                <w:rFonts w:ascii="Arial" w:hAnsi="Arial" w:cs="Arial"/>
                <w:sz w:val="20"/>
                <w:szCs w:val="20"/>
              </w:rPr>
              <w:t xml:space="preserve"> and legacy long-term incentives</w:t>
            </w:r>
            <w:r w:rsidRPr="00BB3629">
              <w:rPr>
                <w:rFonts w:ascii="Arial" w:hAnsi="Arial" w:cs="Arial"/>
                <w:sz w:val="20"/>
                <w:szCs w:val="20"/>
              </w:rPr>
              <w:t xml:space="preserve"> have been included as adjusting items. Although share-based compensation is an important aspect of the compensation of our employees and executives, management believes it is useful to exclude share-based compensation expenses from adjusted profit measures to better understand the long-term performance of our underlying business. Share-based compensation expenses are non-cash charges and are determined using several factors, including expectations surrounding future performance, employee forfeiture rates and, for employee payroll-related tax items, the share price. As a result, these charges are not reflective of the value ultimately received from the awards.</w:t>
            </w:r>
          </w:p>
          <w:p w14:paraId="0FF0650B" w14:textId="77777777" w:rsidR="008A1149" w:rsidRPr="000C4725" w:rsidRDefault="008A1149" w:rsidP="008A1149">
            <w:pPr>
              <w:jc w:val="both"/>
              <w:rPr>
                <w:rFonts w:ascii="Arial" w:hAnsi="Arial" w:cs="Arial"/>
                <w:sz w:val="20"/>
                <w:szCs w:val="20"/>
              </w:rPr>
            </w:pPr>
          </w:p>
        </w:tc>
      </w:tr>
      <w:tr w:rsidR="008A1149" w:rsidRPr="004D7811" w14:paraId="0BC38181" w14:textId="77777777" w:rsidTr="00AB1DC6">
        <w:tc>
          <w:tcPr>
            <w:tcW w:w="1980" w:type="dxa"/>
          </w:tcPr>
          <w:p w14:paraId="27B3D726" w14:textId="1FE6A84A" w:rsidR="008A1149" w:rsidRPr="00D26998" w:rsidRDefault="008A1149" w:rsidP="008A1149">
            <w:pPr>
              <w:rPr>
                <w:rFonts w:ascii="Arial" w:hAnsi="Arial" w:cs="Arial"/>
                <w:sz w:val="20"/>
                <w:szCs w:val="20"/>
              </w:rPr>
            </w:pPr>
            <w:r w:rsidRPr="00BB3629">
              <w:rPr>
                <w:rFonts w:ascii="Arial" w:hAnsi="Arial" w:cs="Arial"/>
                <w:sz w:val="20"/>
                <w:szCs w:val="20"/>
              </w:rPr>
              <w:t>Fair value losses in contingent consideration and acquisition related incentive schemes</w:t>
            </w:r>
          </w:p>
        </w:tc>
        <w:tc>
          <w:tcPr>
            <w:tcW w:w="7756" w:type="dxa"/>
          </w:tcPr>
          <w:p w14:paraId="6ED2D521" w14:textId="1187DC66" w:rsidR="008A1149" w:rsidRDefault="008A1149" w:rsidP="008A1149">
            <w:pPr>
              <w:jc w:val="both"/>
              <w:rPr>
                <w:rFonts w:ascii="Arial" w:hAnsi="Arial" w:cs="Arial"/>
                <w:sz w:val="20"/>
                <w:szCs w:val="20"/>
              </w:rPr>
            </w:pPr>
            <w:r w:rsidRPr="003C70E8">
              <w:rPr>
                <w:rFonts w:ascii="Arial" w:hAnsi="Arial" w:cs="Arial"/>
                <w:sz w:val="20"/>
                <w:szCs w:val="20"/>
              </w:rPr>
              <w:t xml:space="preserve">Movements in contingent consideration </w:t>
            </w:r>
            <w:proofErr w:type="gramStart"/>
            <w:r w:rsidRPr="003C70E8">
              <w:rPr>
                <w:rFonts w:ascii="Arial" w:hAnsi="Arial" w:cs="Arial"/>
                <w:sz w:val="20"/>
                <w:szCs w:val="20"/>
              </w:rPr>
              <w:t>are considered to be</w:t>
            </w:r>
            <w:proofErr w:type="gramEnd"/>
            <w:r w:rsidRPr="003C70E8">
              <w:rPr>
                <w:rFonts w:ascii="Arial" w:hAnsi="Arial" w:cs="Arial"/>
                <w:sz w:val="20"/>
                <w:szCs w:val="20"/>
              </w:rPr>
              <w:t xml:space="preserve"> part of the investing activities of the Group and are therefore not considered to be reflective of the underlying trading performance. Further, share based compensation expenses are not reflective of the value ultimately received by the recipients of the awards. In addition, certain legacy long terms incentives </w:t>
            </w:r>
            <w:proofErr w:type="gramStart"/>
            <w:r w:rsidRPr="003C70E8">
              <w:rPr>
                <w:rFonts w:ascii="Arial" w:hAnsi="Arial" w:cs="Arial"/>
                <w:sz w:val="20"/>
                <w:szCs w:val="20"/>
              </w:rPr>
              <w:t>are considered to be</w:t>
            </w:r>
            <w:proofErr w:type="gramEnd"/>
            <w:r w:rsidRPr="003C70E8">
              <w:rPr>
                <w:rFonts w:ascii="Arial" w:hAnsi="Arial" w:cs="Arial"/>
                <w:sz w:val="20"/>
                <w:szCs w:val="20"/>
              </w:rPr>
              <w:t xml:space="preserve"> part of the investing activities of the Group and non-recurring in nature. </w:t>
            </w:r>
          </w:p>
          <w:p w14:paraId="3951A213" w14:textId="77777777" w:rsidR="008A1149" w:rsidRPr="000C4725" w:rsidRDefault="008A1149" w:rsidP="008A1149">
            <w:pPr>
              <w:jc w:val="both"/>
              <w:rPr>
                <w:rFonts w:ascii="Arial" w:hAnsi="Arial" w:cs="Arial"/>
                <w:sz w:val="20"/>
                <w:szCs w:val="20"/>
              </w:rPr>
            </w:pPr>
          </w:p>
        </w:tc>
      </w:tr>
      <w:tr w:rsidR="008A1149" w:rsidRPr="004D7811" w14:paraId="0A0EE794" w14:textId="77777777" w:rsidTr="00AB1DC6">
        <w:tc>
          <w:tcPr>
            <w:tcW w:w="1980" w:type="dxa"/>
          </w:tcPr>
          <w:p w14:paraId="2947404F" w14:textId="77777777" w:rsidR="008A1149" w:rsidRPr="00C85EE4" w:rsidRDefault="008A1149" w:rsidP="008A1149">
            <w:pPr>
              <w:rPr>
                <w:rFonts w:ascii="Arial" w:hAnsi="Arial" w:cs="Arial"/>
                <w:sz w:val="20"/>
                <w:szCs w:val="20"/>
              </w:rPr>
            </w:pPr>
            <w:r w:rsidRPr="00C85EE4">
              <w:rPr>
                <w:rFonts w:ascii="Arial" w:hAnsi="Arial" w:cs="Arial"/>
                <w:sz w:val="20"/>
                <w:szCs w:val="20"/>
              </w:rPr>
              <w:t>Exceptional finance</w:t>
            </w:r>
          </w:p>
          <w:p w14:paraId="6251C149" w14:textId="2D7AF124" w:rsidR="008A1149" w:rsidRPr="00D26998" w:rsidRDefault="008A1149" w:rsidP="008A1149">
            <w:pPr>
              <w:rPr>
                <w:rFonts w:ascii="Arial" w:hAnsi="Arial" w:cs="Arial"/>
                <w:sz w:val="20"/>
                <w:szCs w:val="20"/>
              </w:rPr>
            </w:pPr>
            <w:r w:rsidRPr="00C85EE4">
              <w:rPr>
                <w:rFonts w:ascii="Arial" w:hAnsi="Arial" w:cs="Arial"/>
                <w:sz w:val="20"/>
                <w:szCs w:val="20"/>
              </w:rPr>
              <w:t>costs</w:t>
            </w:r>
          </w:p>
        </w:tc>
        <w:tc>
          <w:tcPr>
            <w:tcW w:w="7756" w:type="dxa"/>
          </w:tcPr>
          <w:p w14:paraId="7570F90A" w14:textId="6081AEC5" w:rsidR="008A1149" w:rsidRPr="000C4725" w:rsidRDefault="008A1149" w:rsidP="008A1149">
            <w:pPr>
              <w:jc w:val="both"/>
              <w:rPr>
                <w:rFonts w:ascii="Arial" w:hAnsi="Arial" w:cs="Arial"/>
                <w:sz w:val="20"/>
                <w:szCs w:val="20"/>
              </w:rPr>
            </w:pPr>
            <w:r w:rsidRPr="00AE4BAC">
              <w:rPr>
                <w:rFonts w:ascii="Arial" w:hAnsi="Arial" w:cs="Arial"/>
                <w:sz w:val="20"/>
                <w:szCs w:val="20"/>
              </w:rPr>
              <w:t>Exceptional finance costs of £</w:t>
            </w:r>
            <w:r>
              <w:rPr>
                <w:rFonts w:ascii="Arial" w:hAnsi="Arial" w:cs="Arial"/>
                <w:sz w:val="20"/>
                <w:szCs w:val="20"/>
              </w:rPr>
              <w:t>0.1m</w:t>
            </w:r>
            <w:r w:rsidRPr="00AE4BAC">
              <w:rPr>
                <w:rFonts w:ascii="Arial" w:hAnsi="Arial" w:cs="Arial"/>
                <w:sz w:val="20"/>
                <w:szCs w:val="20"/>
              </w:rPr>
              <w:t xml:space="preserve"> (2023: £</w:t>
            </w:r>
            <w:r>
              <w:rPr>
                <w:rFonts w:ascii="Arial" w:hAnsi="Arial" w:cs="Arial"/>
                <w:sz w:val="20"/>
                <w:szCs w:val="20"/>
              </w:rPr>
              <w:t>0.9</w:t>
            </w:r>
            <w:r w:rsidRPr="00AE4BAC">
              <w:rPr>
                <w:rFonts w:ascii="Arial" w:hAnsi="Arial" w:cs="Arial"/>
                <w:sz w:val="20"/>
                <w:szCs w:val="20"/>
              </w:rPr>
              <w:t>m) relate to the non-cash unwinding of the discount applied to contingent consideration to reflect the time value of money. Therefore, it is not considered part of the underlying trading of the Group.</w:t>
            </w:r>
          </w:p>
        </w:tc>
      </w:tr>
    </w:tbl>
    <w:p w14:paraId="6BA6E1B3" w14:textId="77777777" w:rsidR="00D559E2" w:rsidRDefault="00D559E2" w:rsidP="008C676E">
      <w:pPr>
        <w:spacing w:after="0"/>
        <w:rPr>
          <w:rFonts w:ascii="Arial" w:eastAsia="Times New Roman" w:hAnsi="Arial" w:cs="Arial"/>
          <w:b/>
          <w:bCs/>
          <w:color w:val="000000"/>
          <w:sz w:val="20"/>
          <w:szCs w:val="20"/>
          <w:highlight w:val="yellow"/>
          <w:lang w:eastAsia="en-GB"/>
        </w:rPr>
      </w:pPr>
    </w:p>
    <w:p w14:paraId="0748AD2A" w14:textId="77777777" w:rsidR="00B90303" w:rsidRPr="004A7EA6" w:rsidRDefault="00B90303" w:rsidP="00B90303">
      <w:pPr>
        <w:spacing w:after="0"/>
        <w:rPr>
          <w:rFonts w:ascii="Arial" w:eastAsia="Times New Roman" w:hAnsi="Arial" w:cs="Arial"/>
          <w:color w:val="000000"/>
          <w:sz w:val="20"/>
          <w:szCs w:val="20"/>
          <w:highlight w:val="yellow"/>
          <w:lang w:eastAsia="en-GB"/>
        </w:rPr>
      </w:pPr>
    </w:p>
    <w:p w14:paraId="5E6E69C8" w14:textId="77777777" w:rsidR="008C676E" w:rsidRPr="00F72BA1" w:rsidRDefault="00A61E77" w:rsidP="008C676E">
      <w:pPr>
        <w:spacing w:after="0"/>
        <w:rPr>
          <w:rFonts w:ascii="Arial" w:eastAsia="Times New Roman" w:hAnsi="Arial" w:cs="Arial"/>
          <w:color w:val="000000"/>
          <w:sz w:val="20"/>
          <w:szCs w:val="20"/>
          <w:lang w:eastAsia="en-GB"/>
        </w:rPr>
      </w:pPr>
      <w:r w:rsidRPr="00F72BA1">
        <w:rPr>
          <w:rFonts w:ascii="Arial" w:eastAsia="Times New Roman" w:hAnsi="Arial" w:cs="Arial"/>
          <w:b/>
          <w:bCs/>
          <w:color w:val="000000"/>
          <w:sz w:val="20"/>
          <w:szCs w:val="20"/>
          <w:lang w:eastAsia="en-GB"/>
        </w:rPr>
        <w:t>4.</w:t>
      </w:r>
      <w:r w:rsidR="00B90303" w:rsidRPr="00F72BA1">
        <w:rPr>
          <w:rFonts w:ascii="Arial" w:eastAsia="Times New Roman" w:hAnsi="Arial" w:cs="Arial"/>
          <w:b/>
          <w:bCs/>
          <w:color w:val="000000"/>
          <w:sz w:val="20"/>
          <w:szCs w:val="20"/>
          <w:lang w:eastAsia="en-GB"/>
        </w:rPr>
        <w:t xml:space="preserve"> Taxation</w:t>
      </w:r>
    </w:p>
    <w:tbl>
      <w:tblPr>
        <w:tblW w:w="9669" w:type="dxa"/>
        <w:tblInd w:w="-30" w:type="dxa"/>
        <w:tblLayout w:type="fixed"/>
        <w:tblLook w:val="0000" w:firstRow="0" w:lastRow="0" w:firstColumn="0" w:lastColumn="0" w:noHBand="0" w:noVBand="0"/>
      </w:tblPr>
      <w:tblGrid>
        <w:gridCol w:w="3574"/>
        <w:gridCol w:w="1015"/>
        <w:gridCol w:w="1016"/>
        <w:gridCol w:w="1016"/>
        <w:gridCol w:w="1016"/>
        <w:gridCol w:w="1016"/>
        <w:gridCol w:w="1016"/>
      </w:tblGrid>
      <w:tr w:rsidR="008C676E" w:rsidRPr="005E386C" w14:paraId="4D1E527B" w14:textId="77777777" w:rsidTr="00AB1DC6">
        <w:trPr>
          <w:trHeight w:val="283"/>
        </w:trPr>
        <w:tc>
          <w:tcPr>
            <w:tcW w:w="3574" w:type="dxa"/>
            <w:tcBorders>
              <w:bottom w:val="single" w:sz="4" w:space="0" w:color="auto"/>
            </w:tcBorders>
            <w:vAlign w:val="bottom"/>
          </w:tcPr>
          <w:p w14:paraId="4CDD044F"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2031" w:type="dxa"/>
            <w:gridSpan w:val="2"/>
            <w:tcBorders>
              <w:bottom w:val="single" w:sz="4" w:space="0" w:color="auto"/>
            </w:tcBorders>
            <w:vAlign w:val="center"/>
          </w:tcPr>
          <w:p w14:paraId="55FB1EB1" w14:textId="77777777" w:rsidR="008C676E" w:rsidRPr="005E386C" w:rsidRDefault="008C676E" w:rsidP="00AB1DC6">
            <w:pPr>
              <w:autoSpaceDE w:val="0"/>
              <w:autoSpaceDN w:val="0"/>
              <w:adjustRightInd w:val="0"/>
              <w:spacing w:after="0" w:line="0" w:lineRule="atLeast"/>
              <w:ind w:firstLine="193"/>
              <w:jc w:val="center"/>
              <w:rPr>
                <w:rFonts w:ascii="Arial" w:hAnsi="Arial" w:cs="Arial"/>
                <w:b/>
                <w:bCs/>
                <w:color w:val="000000"/>
                <w:sz w:val="20"/>
                <w:szCs w:val="20"/>
              </w:rPr>
            </w:pPr>
            <w:r w:rsidRPr="005E386C">
              <w:rPr>
                <w:rFonts w:ascii="Arial" w:hAnsi="Arial" w:cs="Arial"/>
                <w:b/>
                <w:bCs/>
                <w:color w:val="000000"/>
                <w:sz w:val="20"/>
                <w:szCs w:val="20"/>
              </w:rPr>
              <w:t>Continuing operations</w:t>
            </w:r>
          </w:p>
        </w:tc>
        <w:tc>
          <w:tcPr>
            <w:tcW w:w="2032" w:type="dxa"/>
            <w:gridSpan w:val="2"/>
            <w:tcBorders>
              <w:bottom w:val="single" w:sz="4" w:space="0" w:color="auto"/>
            </w:tcBorders>
            <w:vAlign w:val="center"/>
          </w:tcPr>
          <w:p w14:paraId="1DD55DE5" w14:textId="77777777" w:rsidR="008C676E" w:rsidRPr="005E386C" w:rsidRDefault="008C676E" w:rsidP="00AB1DC6">
            <w:pPr>
              <w:autoSpaceDE w:val="0"/>
              <w:autoSpaceDN w:val="0"/>
              <w:adjustRightInd w:val="0"/>
              <w:spacing w:after="0" w:line="0" w:lineRule="atLeast"/>
              <w:jc w:val="center"/>
              <w:rPr>
                <w:rFonts w:ascii="Arial" w:hAnsi="Arial" w:cs="Arial"/>
                <w:b/>
                <w:bCs/>
                <w:color w:val="000000"/>
                <w:sz w:val="20"/>
                <w:szCs w:val="20"/>
              </w:rPr>
            </w:pPr>
            <w:r w:rsidRPr="005E386C">
              <w:rPr>
                <w:rFonts w:ascii="Arial" w:hAnsi="Arial" w:cs="Arial"/>
                <w:b/>
                <w:bCs/>
                <w:color w:val="000000"/>
                <w:sz w:val="20"/>
                <w:szCs w:val="20"/>
              </w:rPr>
              <w:t>Discontinued operations</w:t>
            </w:r>
          </w:p>
        </w:tc>
        <w:tc>
          <w:tcPr>
            <w:tcW w:w="2032" w:type="dxa"/>
            <w:gridSpan w:val="2"/>
            <w:tcBorders>
              <w:bottom w:val="single" w:sz="4" w:space="0" w:color="auto"/>
            </w:tcBorders>
            <w:vAlign w:val="center"/>
          </w:tcPr>
          <w:p w14:paraId="1D7FDBC2" w14:textId="77777777" w:rsidR="008C676E" w:rsidRPr="005E386C" w:rsidRDefault="008C676E" w:rsidP="00AB1DC6">
            <w:pPr>
              <w:autoSpaceDE w:val="0"/>
              <w:autoSpaceDN w:val="0"/>
              <w:adjustRightInd w:val="0"/>
              <w:spacing w:after="0" w:line="0" w:lineRule="atLeast"/>
              <w:jc w:val="center"/>
              <w:rPr>
                <w:rFonts w:ascii="Arial" w:hAnsi="Arial" w:cs="Arial"/>
                <w:b/>
                <w:bCs/>
                <w:color w:val="000000"/>
                <w:sz w:val="20"/>
                <w:szCs w:val="20"/>
              </w:rPr>
            </w:pPr>
            <w:r w:rsidRPr="005E386C">
              <w:rPr>
                <w:rFonts w:ascii="Arial" w:hAnsi="Arial" w:cs="Arial"/>
                <w:b/>
                <w:bCs/>
                <w:color w:val="000000"/>
                <w:sz w:val="20"/>
                <w:szCs w:val="20"/>
              </w:rPr>
              <w:t>Total</w:t>
            </w:r>
          </w:p>
        </w:tc>
      </w:tr>
      <w:tr w:rsidR="008C676E" w:rsidRPr="005E386C" w14:paraId="4E4C0B54" w14:textId="77777777" w:rsidTr="00AB1DC6">
        <w:trPr>
          <w:trHeight w:val="283"/>
        </w:trPr>
        <w:tc>
          <w:tcPr>
            <w:tcW w:w="3574" w:type="dxa"/>
            <w:tcBorders>
              <w:top w:val="single" w:sz="4" w:space="0" w:color="auto"/>
              <w:bottom w:val="single" w:sz="4" w:space="0" w:color="auto"/>
            </w:tcBorders>
            <w:vAlign w:val="bottom"/>
          </w:tcPr>
          <w:p w14:paraId="1F4F0A95"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015" w:type="dxa"/>
            <w:tcBorders>
              <w:top w:val="single" w:sz="4" w:space="0" w:color="auto"/>
              <w:bottom w:val="single" w:sz="4" w:space="0" w:color="auto"/>
            </w:tcBorders>
            <w:vAlign w:val="bottom"/>
          </w:tcPr>
          <w:p w14:paraId="3655BE10" w14:textId="77777777" w:rsidR="008C676E" w:rsidRPr="005E386C"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5E386C">
              <w:rPr>
                <w:rFonts w:ascii="Arial" w:hAnsi="Arial" w:cs="Arial"/>
                <w:b/>
                <w:bCs/>
                <w:color w:val="000000"/>
                <w:sz w:val="20"/>
                <w:szCs w:val="20"/>
              </w:rPr>
              <w:t>2024</w:t>
            </w:r>
          </w:p>
          <w:p w14:paraId="12692DAD" w14:textId="77777777" w:rsidR="008C676E" w:rsidRPr="005E386C"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5E386C">
              <w:rPr>
                <w:rFonts w:ascii="Arial" w:hAnsi="Arial" w:cs="Arial"/>
                <w:b/>
                <w:bCs/>
                <w:color w:val="000000"/>
                <w:sz w:val="20"/>
                <w:szCs w:val="20"/>
              </w:rPr>
              <w:t>£’m</w:t>
            </w:r>
          </w:p>
        </w:tc>
        <w:tc>
          <w:tcPr>
            <w:tcW w:w="1016" w:type="dxa"/>
            <w:tcBorders>
              <w:top w:val="single" w:sz="4" w:space="0" w:color="auto"/>
              <w:bottom w:val="single" w:sz="4" w:space="0" w:color="auto"/>
            </w:tcBorders>
            <w:vAlign w:val="bottom"/>
          </w:tcPr>
          <w:p w14:paraId="680A12B9"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 xml:space="preserve">2023 </w:t>
            </w:r>
          </w:p>
          <w:p w14:paraId="657D2AFB"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b/>
                <w:bCs/>
                <w:color w:val="000000"/>
                <w:sz w:val="20"/>
                <w:szCs w:val="20"/>
              </w:rPr>
              <w:t>£’m</w:t>
            </w:r>
          </w:p>
        </w:tc>
        <w:tc>
          <w:tcPr>
            <w:tcW w:w="1016" w:type="dxa"/>
            <w:tcBorders>
              <w:top w:val="single" w:sz="4" w:space="0" w:color="auto"/>
              <w:bottom w:val="single" w:sz="4" w:space="0" w:color="auto"/>
            </w:tcBorders>
            <w:vAlign w:val="bottom"/>
          </w:tcPr>
          <w:p w14:paraId="0DE6CEFB" w14:textId="77777777" w:rsidR="008C676E" w:rsidRPr="005E386C"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5E386C">
              <w:rPr>
                <w:rFonts w:ascii="Arial" w:hAnsi="Arial" w:cs="Arial"/>
                <w:b/>
                <w:bCs/>
                <w:color w:val="000000"/>
                <w:sz w:val="20"/>
                <w:szCs w:val="20"/>
              </w:rPr>
              <w:t>2024</w:t>
            </w:r>
          </w:p>
          <w:p w14:paraId="6A9F26F5"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£’m</w:t>
            </w:r>
          </w:p>
        </w:tc>
        <w:tc>
          <w:tcPr>
            <w:tcW w:w="1016" w:type="dxa"/>
            <w:tcBorders>
              <w:top w:val="single" w:sz="4" w:space="0" w:color="auto"/>
              <w:bottom w:val="single" w:sz="4" w:space="0" w:color="auto"/>
            </w:tcBorders>
            <w:vAlign w:val="bottom"/>
          </w:tcPr>
          <w:p w14:paraId="76A6728C" w14:textId="77777777" w:rsidR="008C676E" w:rsidRPr="005E386C"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5E386C">
              <w:rPr>
                <w:rFonts w:ascii="Arial" w:hAnsi="Arial" w:cs="Arial"/>
                <w:b/>
                <w:bCs/>
                <w:color w:val="000000"/>
                <w:sz w:val="20"/>
                <w:szCs w:val="20"/>
              </w:rPr>
              <w:t>2023</w:t>
            </w:r>
          </w:p>
          <w:p w14:paraId="6A855420"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£’m</w:t>
            </w:r>
          </w:p>
        </w:tc>
        <w:tc>
          <w:tcPr>
            <w:tcW w:w="1016" w:type="dxa"/>
            <w:tcBorders>
              <w:top w:val="single" w:sz="4" w:space="0" w:color="auto"/>
              <w:bottom w:val="single" w:sz="4" w:space="0" w:color="auto"/>
            </w:tcBorders>
            <w:vAlign w:val="bottom"/>
          </w:tcPr>
          <w:p w14:paraId="17F945CA"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 xml:space="preserve">2024 </w:t>
            </w:r>
          </w:p>
          <w:p w14:paraId="50F71B04"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£’m</w:t>
            </w:r>
          </w:p>
        </w:tc>
        <w:tc>
          <w:tcPr>
            <w:tcW w:w="1016" w:type="dxa"/>
            <w:tcBorders>
              <w:top w:val="single" w:sz="4" w:space="0" w:color="auto"/>
              <w:bottom w:val="single" w:sz="4" w:space="0" w:color="auto"/>
            </w:tcBorders>
            <w:vAlign w:val="bottom"/>
          </w:tcPr>
          <w:p w14:paraId="32D450FB" w14:textId="77777777" w:rsidR="008C676E" w:rsidRPr="005E386C"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5E386C">
              <w:rPr>
                <w:rFonts w:ascii="Arial" w:hAnsi="Arial" w:cs="Arial"/>
                <w:b/>
                <w:bCs/>
                <w:color w:val="000000"/>
                <w:sz w:val="20"/>
                <w:szCs w:val="20"/>
              </w:rPr>
              <w:t>2023</w:t>
            </w:r>
          </w:p>
          <w:p w14:paraId="16336F93"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£’m</w:t>
            </w:r>
          </w:p>
        </w:tc>
      </w:tr>
      <w:tr w:rsidR="008C676E" w:rsidRPr="005E386C" w14:paraId="2D77D1CE" w14:textId="77777777" w:rsidTr="00AB1DC6">
        <w:trPr>
          <w:trHeight w:val="283"/>
        </w:trPr>
        <w:tc>
          <w:tcPr>
            <w:tcW w:w="3574" w:type="dxa"/>
            <w:tcBorders>
              <w:top w:val="single" w:sz="4" w:space="0" w:color="auto"/>
            </w:tcBorders>
            <w:vAlign w:val="bottom"/>
          </w:tcPr>
          <w:p w14:paraId="565B86CE" w14:textId="77777777"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Current tax:</w:t>
            </w:r>
          </w:p>
        </w:tc>
        <w:tc>
          <w:tcPr>
            <w:tcW w:w="1015" w:type="dxa"/>
            <w:tcBorders>
              <w:top w:val="single" w:sz="4" w:space="0" w:color="auto"/>
            </w:tcBorders>
            <w:vAlign w:val="bottom"/>
          </w:tcPr>
          <w:p w14:paraId="104F7F41"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016" w:type="dxa"/>
            <w:vAlign w:val="bottom"/>
          </w:tcPr>
          <w:p w14:paraId="54D1A21A"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016" w:type="dxa"/>
          </w:tcPr>
          <w:p w14:paraId="09448FD9"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016" w:type="dxa"/>
          </w:tcPr>
          <w:p w14:paraId="264F277D"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016" w:type="dxa"/>
          </w:tcPr>
          <w:p w14:paraId="45AAADF7"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016" w:type="dxa"/>
          </w:tcPr>
          <w:p w14:paraId="3FE0C87A"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5E386C" w14:paraId="0D380F97" w14:textId="77777777" w:rsidTr="00AB1DC6">
        <w:trPr>
          <w:trHeight w:val="283"/>
        </w:trPr>
        <w:tc>
          <w:tcPr>
            <w:tcW w:w="3574" w:type="dxa"/>
            <w:vAlign w:val="bottom"/>
          </w:tcPr>
          <w:p w14:paraId="68B88B5F" w14:textId="77777777"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UK corporation tax on loss for the year</w:t>
            </w:r>
          </w:p>
        </w:tc>
        <w:tc>
          <w:tcPr>
            <w:tcW w:w="1015" w:type="dxa"/>
            <w:vAlign w:val="bottom"/>
          </w:tcPr>
          <w:p w14:paraId="0AC7BCEB" w14:textId="640D0061" w:rsidR="008C676E" w:rsidRPr="005E386C" w:rsidRDefault="004F6977"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w:t>
            </w:r>
            <w:r w:rsidR="00D559E2">
              <w:rPr>
                <w:rFonts w:ascii="Arial" w:hAnsi="Arial" w:cs="Arial"/>
                <w:b/>
                <w:bCs/>
                <w:color w:val="000000"/>
                <w:sz w:val="20"/>
                <w:szCs w:val="20"/>
              </w:rPr>
              <w:t>0</w:t>
            </w:r>
            <w:r w:rsidR="008C676E" w:rsidRPr="005E386C">
              <w:rPr>
                <w:rFonts w:ascii="Arial" w:hAnsi="Arial" w:cs="Arial"/>
                <w:b/>
                <w:bCs/>
                <w:color w:val="000000"/>
                <w:sz w:val="20"/>
                <w:szCs w:val="20"/>
              </w:rPr>
              <w:t>.1</w:t>
            </w:r>
            <w:r>
              <w:rPr>
                <w:rFonts w:ascii="Arial" w:hAnsi="Arial" w:cs="Arial"/>
                <w:b/>
                <w:bCs/>
                <w:color w:val="000000"/>
                <w:sz w:val="20"/>
                <w:szCs w:val="20"/>
              </w:rPr>
              <w:t>)</w:t>
            </w:r>
          </w:p>
        </w:tc>
        <w:tc>
          <w:tcPr>
            <w:tcW w:w="1016" w:type="dxa"/>
            <w:vAlign w:val="bottom"/>
          </w:tcPr>
          <w:p w14:paraId="2BA72B16"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1.4</w:t>
            </w:r>
          </w:p>
        </w:tc>
        <w:tc>
          <w:tcPr>
            <w:tcW w:w="1016" w:type="dxa"/>
            <w:vAlign w:val="bottom"/>
          </w:tcPr>
          <w:p w14:paraId="472CA8CF" w14:textId="61D46AB8" w:rsidR="008C676E" w:rsidRPr="005E386C" w:rsidRDefault="00D559E2"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5.6</w:t>
            </w:r>
          </w:p>
        </w:tc>
        <w:tc>
          <w:tcPr>
            <w:tcW w:w="1016" w:type="dxa"/>
            <w:vAlign w:val="bottom"/>
          </w:tcPr>
          <w:p w14:paraId="1754E16C"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2.6</w:t>
            </w:r>
          </w:p>
        </w:tc>
        <w:tc>
          <w:tcPr>
            <w:tcW w:w="1016" w:type="dxa"/>
            <w:vAlign w:val="bottom"/>
          </w:tcPr>
          <w:p w14:paraId="2E58A601"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5.5</w:t>
            </w:r>
          </w:p>
        </w:tc>
        <w:tc>
          <w:tcPr>
            <w:tcW w:w="1016" w:type="dxa"/>
            <w:vAlign w:val="bottom"/>
          </w:tcPr>
          <w:p w14:paraId="19E54FEE"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4.0</w:t>
            </w:r>
          </w:p>
        </w:tc>
      </w:tr>
      <w:tr w:rsidR="008C676E" w:rsidRPr="005E386C" w14:paraId="497FC300" w14:textId="77777777" w:rsidTr="00AB1DC6">
        <w:trPr>
          <w:trHeight w:val="283"/>
        </w:trPr>
        <w:tc>
          <w:tcPr>
            <w:tcW w:w="3574" w:type="dxa"/>
            <w:vAlign w:val="bottom"/>
          </w:tcPr>
          <w:p w14:paraId="3ABADB30" w14:textId="77777777"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Foreign tax</w:t>
            </w:r>
          </w:p>
        </w:tc>
        <w:tc>
          <w:tcPr>
            <w:tcW w:w="1015" w:type="dxa"/>
            <w:vAlign w:val="bottom"/>
          </w:tcPr>
          <w:p w14:paraId="2D779748" w14:textId="2D0EFABF" w:rsidR="008C676E" w:rsidRPr="005E386C" w:rsidRDefault="00D559E2"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0.1</w:t>
            </w:r>
          </w:p>
        </w:tc>
        <w:tc>
          <w:tcPr>
            <w:tcW w:w="1016" w:type="dxa"/>
            <w:vAlign w:val="bottom"/>
          </w:tcPr>
          <w:p w14:paraId="5FF36CA3"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0.1</w:t>
            </w:r>
          </w:p>
        </w:tc>
        <w:tc>
          <w:tcPr>
            <w:tcW w:w="1016" w:type="dxa"/>
            <w:vAlign w:val="bottom"/>
          </w:tcPr>
          <w:p w14:paraId="189B8DFF"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0.7</w:t>
            </w:r>
          </w:p>
        </w:tc>
        <w:tc>
          <w:tcPr>
            <w:tcW w:w="1016" w:type="dxa"/>
            <w:vAlign w:val="bottom"/>
          </w:tcPr>
          <w:p w14:paraId="22A32EE1"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0.3</w:t>
            </w:r>
          </w:p>
        </w:tc>
        <w:tc>
          <w:tcPr>
            <w:tcW w:w="1016" w:type="dxa"/>
            <w:vAlign w:val="bottom"/>
          </w:tcPr>
          <w:p w14:paraId="694A2CE7" w14:textId="32B64C6D" w:rsidR="008C676E" w:rsidRPr="005E386C" w:rsidRDefault="00D559E2"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0.8</w:t>
            </w:r>
          </w:p>
        </w:tc>
        <w:tc>
          <w:tcPr>
            <w:tcW w:w="1016" w:type="dxa"/>
            <w:vAlign w:val="bottom"/>
          </w:tcPr>
          <w:p w14:paraId="5DA9787A"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0.4</w:t>
            </w:r>
          </w:p>
        </w:tc>
      </w:tr>
      <w:tr w:rsidR="008C676E" w:rsidRPr="005E386C" w14:paraId="59D0AC8E" w14:textId="77777777" w:rsidTr="00AB1DC6">
        <w:trPr>
          <w:trHeight w:val="283"/>
        </w:trPr>
        <w:tc>
          <w:tcPr>
            <w:tcW w:w="3574" w:type="dxa"/>
            <w:tcBorders>
              <w:bottom w:val="single" w:sz="4" w:space="0" w:color="auto"/>
            </w:tcBorders>
            <w:shd w:val="clear" w:color="auto" w:fill="auto"/>
            <w:vAlign w:val="bottom"/>
          </w:tcPr>
          <w:p w14:paraId="4568B94E" w14:textId="77777777"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Adjustment in respect of previous periods</w:t>
            </w:r>
          </w:p>
        </w:tc>
        <w:tc>
          <w:tcPr>
            <w:tcW w:w="1015" w:type="dxa"/>
            <w:tcBorders>
              <w:bottom w:val="single" w:sz="4" w:space="0" w:color="auto"/>
            </w:tcBorders>
            <w:vAlign w:val="bottom"/>
          </w:tcPr>
          <w:p w14:paraId="5D99CB29" w14:textId="169EBFAD"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(0.</w:t>
            </w:r>
            <w:r w:rsidR="003F4669">
              <w:rPr>
                <w:rFonts w:ascii="Arial" w:hAnsi="Arial" w:cs="Arial"/>
                <w:b/>
                <w:bCs/>
                <w:color w:val="000000"/>
                <w:sz w:val="20"/>
                <w:szCs w:val="20"/>
              </w:rPr>
              <w:t>7</w:t>
            </w:r>
            <w:r w:rsidRPr="005E386C">
              <w:rPr>
                <w:rFonts w:ascii="Arial" w:hAnsi="Arial" w:cs="Arial"/>
                <w:b/>
                <w:bCs/>
                <w:color w:val="000000"/>
                <w:sz w:val="20"/>
                <w:szCs w:val="20"/>
              </w:rPr>
              <w:t>)</w:t>
            </w:r>
          </w:p>
        </w:tc>
        <w:tc>
          <w:tcPr>
            <w:tcW w:w="1016" w:type="dxa"/>
            <w:tcBorders>
              <w:bottom w:val="single" w:sz="4" w:space="0" w:color="auto"/>
            </w:tcBorders>
            <w:shd w:val="clear" w:color="auto" w:fill="auto"/>
            <w:vAlign w:val="bottom"/>
          </w:tcPr>
          <w:p w14:paraId="7013DE53" w14:textId="632C0DA9" w:rsidR="008C676E" w:rsidRPr="005E386C" w:rsidRDefault="003F4669"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(0.6)</w:t>
            </w:r>
          </w:p>
        </w:tc>
        <w:tc>
          <w:tcPr>
            <w:tcW w:w="1016" w:type="dxa"/>
            <w:tcBorders>
              <w:bottom w:val="single" w:sz="4" w:space="0" w:color="auto"/>
            </w:tcBorders>
            <w:vAlign w:val="bottom"/>
          </w:tcPr>
          <w:p w14:paraId="45450EB6" w14:textId="2C1506FB" w:rsidR="008C676E" w:rsidRPr="005E386C" w:rsidRDefault="004F6977"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0.1</w:t>
            </w:r>
          </w:p>
        </w:tc>
        <w:tc>
          <w:tcPr>
            <w:tcW w:w="1016" w:type="dxa"/>
            <w:tcBorders>
              <w:bottom w:val="single" w:sz="4" w:space="0" w:color="auto"/>
            </w:tcBorders>
            <w:vAlign w:val="bottom"/>
          </w:tcPr>
          <w:p w14:paraId="05524000"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(0.1)</w:t>
            </w:r>
          </w:p>
        </w:tc>
        <w:tc>
          <w:tcPr>
            <w:tcW w:w="1016" w:type="dxa"/>
            <w:tcBorders>
              <w:bottom w:val="single" w:sz="4" w:space="0" w:color="auto"/>
            </w:tcBorders>
            <w:vAlign w:val="bottom"/>
          </w:tcPr>
          <w:p w14:paraId="3F6DF859" w14:textId="3DB984F4"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(0.</w:t>
            </w:r>
            <w:r w:rsidR="003F4669">
              <w:rPr>
                <w:rFonts w:ascii="Arial" w:hAnsi="Arial" w:cs="Arial"/>
                <w:b/>
                <w:bCs/>
                <w:color w:val="000000"/>
                <w:sz w:val="20"/>
                <w:szCs w:val="20"/>
              </w:rPr>
              <w:t>6</w:t>
            </w:r>
            <w:r w:rsidRPr="005E386C">
              <w:rPr>
                <w:rFonts w:ascii="Arial" w:hAnsi="Arial" w:cs="Arial"/>
                <w:b/>
                <w:bCs/>
                <w:color w:val="000000"/>
                <w:sz w:val="20"/>
                <w:szCs w:val="20"/>
              </w:rPr>
              <w:t>)</w:t>
            </w:r>
          </w:p>
        </w:tc>
        <w:tc>
          <w:tcPr>
            <w:tcW w:w="1016" w:type="dxa"/>
            <w:tcBorders>
              <w:bottom w:val="single" w:sz="4" w:space="0" w:color="auto"/>
            </w:tcBorders>
            <w:vAlign w:val="bottom"/>
          </w:tcPr>
          <w:p w14:paraId="78DD3895"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(0.7)</w:t>
            </w:r>
          </w:p>
        </w:tc>
      </w:tr>
      <w:tr w:rsidR="008C676E" w:rsidRPr="005E386C" w14:paraId="1612C07E" w14:textId="77777777" w:rsidTr="00AB1DC6">
        <w:trPr>
          <w:trHeight w:val="283"/>
        </w:trPr>
        <w:tc>
          <w:tcPr>
            <w:tcW w:w="3574" w:type="dxa"/>
            <w:tcBorders>
              <w:top w:val="single" w:sz="4" w:space="0" w:color="auto"/>
              <w:bottom w:val="single" w:sz="4" w:space="0" w:color="auto"/>
            </w:tcBorders>
            <w:shd w:val="clear" w:color="auto" w:fill="auto"/>
            <w:vAlign w:val="bottom"/>
          </w:tcPr>
          <w:p w14:paraId="3578AA50" w14:textId="77777777"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Total current tax</w:t>
            </w:r>
          </w:p>
        </w:tc>
        <w:tc>
          <w:tcPr>
            <w:tcW w:w="1015" w:type="dxa"/>
            <w:tcBorders>
              <w:top w:val="single" w:sz="4" w:space="0" w:color="auto"/>
              <w:bottom w:val="single" w:sz="4" w:space="0" w:color="auto"/>
            </w:tcBorders>
            <w:vAlign w:val="bottom"/>
          </w:tcPr>
          <w:p w14:paraId="712A9A06" w14:textId="112E6035" w:rsidR="008C676E" w:rsidRPr="005E386C" w:rsidRDefault="00D559E2"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w:t>
            </w:r>
            <w:r w:rsidR="003F4669">
              <w:rPr>
                <w:rFonts w:ascii="Arial" w:eastAsia="Times New Roman" w:hAnsi="Arial" w:cs="Arial"/>
                <w:b/>
                <w:bCs/>
                <w:color w:val="000000"/>
                <w:sz w:val="20"/>
                <w:szCs w:val="20"/>
                <w:lang w:eastAsia="en-GB"/>
              </w:rPr>
              <w:t>7</w:t>
            </w:r>
            <w:r>
              <w:rPr>
                <w:rFonts w:ascii="Arial" w:eastAsia="Times New Roman" w:hAnsi="Arial" w:cs="Arial"/>
                <w:b/>
                <w:bCs/>
                <w:color w:val="000000"/>
                <w:sz w:val="20"/>
                <w:szCs w:val="20"/>
                <w:lang w:eastAsia="en-GB"/>
              </w:rPr>
              <w:t>)</w:t>
            </w:r>
          </w:p>
        </w:tc>
        <w:tc>
          <w:tcPr>
            <w:tcW w:w="1016" w:type="dxa"/>
            <w:tcBorders>
              <w:top w:val="single" w:sz="4" w:space="0" w:color="auto"/>
              <w:bottom w:val="single" w:sz="4" w:space="0" w:color="auto"/>
            </w:tcBorders>
            <w:shd w:val="clear" w:color="auto" w:fill="auto"/>
            <w:vAlign w:val="bottom"/>
          </w:tcPr>
          <w:p w14:paraId="0A63C5A7"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0.9</w:t>
            </w:r>
          </w:p>
        </w:tc>
        <w:tc>
          <w:tcPr>
            <w:tcW w:w="1016" w:type="dxa"/>
            <w:tcBorders>
              <w:top w:val="single" w:sz="4" w:space="0" w:color="auto"/>
              <w:bottom w:val="single" w:sz="4" w:space="0" w:color="auto"/>
            </w:tcBorders>
            <w:vAlign w:val="bottom"/>
          </w:tcPr>
          <w:p w14:paraId="30A259AE" w14:textId="3B2D8362" w:rsidR="008C676E" w:rsidRPr="005E386C" w:rsidRDefault="00D559E2"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6.4</w:t>
            </w:r>
          </w:p>
        </w:tc>
        <w:tc>
          <w:tcPr>
            <w:tcW w:w="1016" w:type="dxa"/>
            <w:tcBorders>
              <w:top w:val="single" w:sz="4" w:space="0" w:color="auto"/>
              <w:bottom w:val="single" w:sz="4" w:space="0" w:color="auto"/>
            </w:tcBorders>
            <w:vAlign w:val="bottom"/>
          </w:tcPr>
          <w:p w14:paraId="5F574306"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2.8</w:t>
            </w:r>
          </w:p>
        </w:tc>
        <w:tc>
          <w:tcPr>
            <w:tcW w:w="1016" w:type="dxa"/>
            <w:tcBorders>
              <w:top w:val="single" w:sz="4" w:space="0" w:color="auto"/>
              <w:bottom w:val="single" w:sz="4" w:space="0" w:color="auto"/>
            </w:tcBorders>
            <w:vAlign w:val="bottom"/>
          </w:tcPr>
          <w:p w14:paraId="31B31CB7"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5.7</w:t>
            </w:r>
          </w:p>
        </w:tc>
        <w:tc>
          <w:tcPr>
            <w:tcW w:w="1016" w:type="dxa"/>
            <w:tcBorders>
              <w:top w:val="single" w:sz="4" w:space="0" w:color="auto"/>
              <w:bottom w:val="single" w:sz="4" w:space="0" w:color="auto"/>
            </w:tcBorders>
            <w:vAlign w:val="bottom"/>
          </w:tcPr>
          <w:p w14:paraId="3F6162A9"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3.7</w:t>
            </w:r>
          </w:p>
        </w:tc>
      </w:tr>
      <w:tr w:rsidR="008C676E" w:rsidRPr="005E386C" w14:paraId="1F27E75B" w14:textId="77777777" w:rsidTr="00AB1DC6">
        <w:trPr>
          <w:trHeight w:val="283"/>
        </w:trPr>
        <w:tc>
          <w:tcPr>
            <w:tcW w:w="3574" w:type="dxa"/>
            <w:tcBorders>
              <w:top w:val="single" w:sz="4" w:space="0" w:color="auto"/>
            </w:tcBorders>
            <w:vAlign w:val="bottom"/>
          </w:tcPr>
          <w:p w14:paraId="686F661B" w14:textId="5C160DEF"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Deferred tax:</w:t>
            </w:r>
          </w:p>
        </w:tc>
        <w:tc>
          <w:tcPr>
            <w:tcW w:w="1015" w:type="dxa"/>
            <w:tcBorders>
              <w:top w:val="single" w:sz="4" w:space="0" w:color="auto"/>
            </w:tcBorders>
            <w:vAlign w:val="bottom"/>
          </w:tcPr>
          <w:p w14:paraId="14AD0CD4"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016" w:type="dxa"/>
            <w:tcBorders>
              <w:top w:val="single" w:sz="4" w:space="0" w:color="auto"/>
            </w:tcBorders>
            <w:vAlign w:val="bottom"/>
          </w:tcPr>
          <w:p w14:paraId="4DD1CD86"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016" w:type="dxa"/>
            <w:tcBorders>
              <w:top w:val="single" w:sz="4" w:space="0" w:color="auto"/>
            </w:tcBorders>
            <w:vAlign w:val="bottom"/>
          </w:tcPr>
          <w:p w14:paraId="04C6637A"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016" w:type="dxa"/>
            <w:tcBorders>
              <w:top w:val="single" w:sz="4" w:space="0" w:color="auto"/>
            </w:tcBorders>
            <w:vAlign w:val="bottom"/>
          </w:tcPr>
          <w:p w14:paraId="49E2F1F9"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016" w:type="dxa"/>
            <w:tcBorders>
              <w:top w:val="single" w:sz="4" w:space="0" w:color="auto"/>
            </w:tcBorders>
            <w:vAlign w:val="bottom"/>
          </w:tcPr>
          <w:p w14:paraId="2269AF35"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016" w:type="dxa"/>
            <w:tcBorders>
              <w:top w:val="single" w:sz="4" w:space="0" w:color="auto"/>
            </w:tcBorders>
            <w:vAlign w:val="bottom"/>
          </w:tcPr>
          <w:p w14:paraId="4B733E3F"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5E386C" w14:paraId="7275F04A" w14:textId="77777777" w:rsidTr="00AB1DC6">
        <w:trPr>
          <w:trHeight w:val="283"/>
        </w:trPr>
        <w:tc>
          <w:tcPr>
            <w:tcW w:w="3574" w:type="dxa"/>
            <w:vAlign w:val="bottom"/>
          </w:tcPr>
          <w:p w14:paraId="58E35A2F" w14:textId="77777777"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Current year</w:t>
            </w:r>
          </w:p>
        </w:tc>
        <w:tc>
          <w:tcPr>
            <w:tcW w:w="1015" w:type="dxa"/>
            <w:vAlign w:val="bottom"/>
          </w:tcPr>
          <w:p w14:paraId="2507ABE5" w14:textId="552160AA" w:rsidR="008C676E" w:rsidRPr="005E386C" w:rsidRDefault="00D559E2"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(3.7)</w:t>
            </w:r>
          </w:p>
        </w:tc>
        <w:tc>
          <w:tcPr>
            <w:tcW w:w="1016" w:type="dxa"/>
            <w:vAlign w:val="bottom"/>
          </w:tcPr>
          <w:p w14:paraId="325A3C78"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(3.9)</w:t>
            </w:r>
          </w:p>
        </w:tc>
        <w:tc>
          <w:tcPr>
            <w:tcW w:w="1016" w:type="dxa"/>
            <w:vAlign w:val="bottom"/>
          </w:tcPr>
          <w:p w14:paraId="4ACE9DFC" w14:textId="7C864799" w:rsidR="008C676E" w:rsidRPr="005E386C" w:rsidRDefault="00D559E2"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(3.1)</w:t>
            </w:r>
          </w:p>
        </w:tc>
        <w:tc>
          <w:tcPr>
            <w:tcW w:w="1016" w:type="dxa"/>
            <w:vAlign w:val="bottom"/>
          </w:tcPr>
          <w:p w14:paraId="738FB6F1"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(3.0)</w:t>
            </w:r>
          </w:p>
        </w:tc>
        <w:tc>
          <w:tcPr>
            <w:tcW w:w="1016" w:type="dxa"/>
            <w:vAlign w:val="bottom"/>
          </w:tcPr>
          <w:p w14:paraId="6B6A390E"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(6.8)</w:t>
            </w:r>
          </w:p>
        </w:tc>
        <w:tc>
          <w:tcPr>
            <w:tcW w:w="1016" w:type="dxa"/>
            <w:vAlign w:val="bottom"/>
          </w:tcPr>
          <w:p w14:paraId="651BB184"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(6.9)</w:t>
            </w:r>
          </w:p>
        </w:tc>
      </w:tr>
      <w:tr w:rsidR="008C676E" w:rsidRPr="005E386C" w14:paraId="62B28E3A" w14:textId="77777777" w:rsidTr="00AB1DC6">
        <w:trPr>
          <w:trHeight w:val="283"/>
        </w:trPr>
        <w:tc>
          <w:tcPr>
            <w:tcW w:w="3574" w:type="dxa"/>
            <w:vAlign w:val="bottom"/>
          </w:tcPr>
          <w:p w14:paraId="319030D5" w14:textId="77777777" w:rsidR="008C676E" w:rsidRPr="005E386C" w:rsidRDefault="008C676E" w:rsidP="00AB1DC6">
            <w:pPr>
              <w:autoSpaceDE w:val="0"/>
              <w:autoSpaceDN w:val="0"/>
              <w:adjustRightInd w:val="0"/>
              <w:spacing w:after="0" w:line="0" w:lineRule="atLeast"/>
              <w:rPr>
                <w:rFonts w:ascii="Arial" w:eastAsia="Times New Roman" w:hAnsi="Arial" w:cs="Arial"/>
                <w:color w:val="000000"/>
                <w:sz w:val="20"/>
                <w:szCs w:val="20"/>
                <w:lang w:eastAsia="en-GB"/>
              </w:rPr>
            </w:pPr>
            <w:r w:rsidRPr="005E386C">
              <w:rPr>
                <w:rFonts w:ascii="Arial" w:eastAsia="Times New Roman" w:hAnsi="Arial" w:cs="Arial"/>
                <w:color w:val="000000"/>
                <w:sz w:val="20"/>
                <w:szCs w:val="20"/>
                <w:lang w:eastAsia="en-GB"/>
              </w:rPr>
              <w:t>Adjustment in respect of previous periods</w:t>
            </w:r>
          </w:p>
        </w:tc>
        <w:tc>
          <w:tcPr>
            <w:tcW w:w="1015" w:type="dxa"/>
            <w:vAlign w:val="bottom"/>
          </w:tcPr>
          <w:p w14:paraId="03AE2F3A" w14:textId="77777777" w:rsidR="008C676E" w:rsidRPr="005E386C"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r w:rsidRPr="005E386C">
              <w:rPr>
                <w:rFonts w:ascii="Arial" w:eastAsia="Times New Roman" w:hAnsi="Arial" w:cs="Arial"/>
                <w:b/>
                <w:bCs/>
                <w:color w:val="000000"/>
                <w:sz w:val="20"/>
                <w:szCs w:val="20"/>
                <w:lang w:eastAsia="en-GB"/>
              </w:rPr>
              <w:t>1.2</w:t>
            </w:r>
          </w:p>
        </w:tc>
        <w:tc>
          <w:tcPr>
            <w:tcW w:w="1016" w:type="dxa"/>
            <w:vAlign w:val="bottom"/>
          </w:tcPr>
          <w:p w14:paraId="4C56815C" w14:textId="77777777" w:rsidR="008C676E" w:rsidRPr="005E386C" w:rsidRDefault="008C676E" w:rsidP="00AB1DC6">
            <w:pPr>
              <w:autoSpaceDE w:val="0"/>
              <w:autoSpaceDN w:val="0"/>
              <w:adjustRightInd w:val="0"/>
              <w:spacing w:after="0" w:line="0" w:lineRule="atLeast"/>
              <w:jc w:val="right"/>
              <w:rPr>
                <w:rFonts w:ascii="Arial" w:hAnsi="Arial" w:cs="Arial"/>
                <w:sz w:val="20"/>
                <w:szCs w:val="20"/>
              </w:rPr>
            </w:pPr>
            <w:r w:rsidRPr="005E386C">
              <w:rPr>
                <w:rFonts w:ascii="Arial" w:hAnsi="Arial" w:cs="Arial"/>
                <w:sz w:val="20"/>
                <w:szCs w:val="20"/>
              </w:rPr>
              <w:t>0.2</w:t>
            </w:r>
          </w:p>
        </w:tc>
        <w:tc>
          <w:tcPr>
            <w:tcW w:w="1016" w:type="dxa"/>
            <w:vAlign w:val="bottom"/>
          </w:tcPr>
          <w:p w14:paraId="2DAD9697" w14:textId="77777777" w:rsidR="008C676E" w:rsidRPr="005E386C" w:rsidRDefault="008C676E" w:rsidP="00AB1DC6">
            <w:pPr>
              <w:autoSpaceDE w:val="0"/>
              <w:autoSpaceDN w:val="0"/>
              <w:adjustRightInd w:val="0"/>
              <w:spacing w:after="0" w:line="0" w:lineRule="atLeast"/>
              <w:jc w:val="right"/>
              <w:rPr>
                <w:rFonts w:ascii="Arial" w:hAnsi="Arial" w:cs="Arial"/>
                <w:b/>
                <w:bCs/>
                <w:sz w:val="20"/>
                <w:szCs w:val="20"/>
              </w:rPr>
            </w:pPr>
            <w:r w:rsidRPr="005E386C">
              <w:rPr>
                <w:rFonts w:ascii="Arial" w:hAnsi="Arial" w:cs="Arial"/>
                <w:b/>
                <w:bCs/>
                <w:sz w:val="20"/>
                <w:szCs w:val="20"/>
              </w:rPr>
              <w:t>(0.8)</w:t>
            </w:r>
          </w:p>
        </w:tc>
        <w:tc>
          <w:tcPr>
            <w:tcW w:w="1016" w:type="dxa"/>
            <w:vAlign w:val="bottom"/>
          </w:tcPr>
          <w:p w14:paraId="7776F578" w14:textId="77777777" w:rsidR="008C676E" w:rsidRPr="005E386C" w:rsidRDefault="008C676E" w:rsidP="00AB1DC6">
            <w:pPr>
              <w:autoSpaceDE w:val="0"/>
              <w:autoSpaceDN w:val="0"/>
              <w:adjustRightInd w:val="0"/>
              <w:spacing w:after="0" w:line="0" w:lineRule="atLeast"/>
              <w:jc w:val="right"/>
              <w:rPr>
                <w:rFonts w:ascii="Arial" w:hAnsi="Arial" w:cs="Arial"/>
                <w:sz w:val="20"/>
                <w:szCs w:val="20"/>
              </w:rPr>
            </w:pPr>
            <w:r w:rsidRPr="005E386C">
              <w:rPr>
                <w:rFonts w:ascii="Arial" w:hAnsi="Arial" w:cs="Arial"/>
                <w:sz w:val="20"/>
                <w:szCs w:val="20"/>
              </w:rPr>
              <w:t>(0.1)</w:t>
            </w:r>
          </w:p>
        </w:tc>
        <w:tc>
          <w:tcPr>
            <w:tcW w:w="1016" w:type="dxa"/>
            <w:vAlign w:val="bottom"/>
          </w:tcPr>
          <w:p w14:paraId="29B3FBE6" w14:textId="77777777" w:rsidR="008C676E" w:rsidRPr="005E386C" w:rsidRDefault="008C676E" w:rsidP="00AB1DC6">
            <w:pPr>
              <w:autoSpaceDE w:val="0"/>
              <w:autoSpaceDN w:val="0"/>
              <w:adjustRightInd w:val="0"/>
              <w:spacing w:after="0" w:line="0" w:lineRule="atLeast"/>
              <w:jc w:val="right"/>
              <w:rPr>
                <w:rFonts w:ascii="Arial" w:hAnsi="Arial" w:cs="Arial"/>
                <w:b/>
                <w:bCs/>
                <w:sz w:val="20"/>
                <w:szCs w:val="20"/>
              </w:rPr>
            </w:pPr>
            <w:r w:rsidRPr="005E386C">
              <w:rPr>
                <w:rFonts w:ascii="Arial" w:hAnsi="Arial" w:cs="Arial"/>
                <w:b/>
                <w:bCs/>
                <w:sz w:val="20"/>
                <w:szCs w:val="20"/>
              </w:rPr>
              <w:t>0.4</w:t>
            </w:r>
          </w:p>
        </w:tc>
        <w:tc>
          <w:tcPr>
            <w:tcW w:w="1016" w:type="dxa"/>
            <w:vAlign w:val="bottom"/>
          </w:tcPr>
          <w:p w14:paraId="78D37168" w14:textId="77777777" w:rsidR="008C676E" w:rsidRPr="005E386C" w:rsidRDefault="008C676E" w:rsidP="00AB1DC6">
            <w:pPr>
              <w:autoSpaceDE w:val="0"/>
              <w:autoSpaceDN w:val="0"/>
              <w:adjustRightInd w:val="0"/>
              <w:spacing w:after="0" w:line="0" w:lineRule="atLeast"/>
              <w:jc w:val="right"/>
              <w:rPr>
                <w:rFonts w:ascii="Arial" w:hAnsi="Arial" w:cs="Arial"/>
                <w:sz w:val="20"/>
                <w:szCs w:val="20"/>
              </w:rPr>
            </w:pPr>
            <w:r w:rsidRPr="005E386C">
              <w:rPr>
                <w:rFonts w:ascii="Arial" w:hAnsi="Arial" w:cs="Arial"/>
                <w:sz w:val="20"/>
                <w:szCs w:val="20"/>
              </w:rPr>
              <w:t>0.1</w:t>
            </w:r>
          </w:p>
        </w:tc>
      </w:tr>
      <w:tr w:rsidR="008C676E" w:rsidRPr="005E386C" w14:paraId="5168690A" w14:textId="77777777" w:rsidTr="00AB1DC6">
        <w:trPr>
          <w:trHeight w:val="283"/>
        </w:trPr>
        <w:tc>
          <w:tcPr>
            <w:tcW w:w="3574" w:type="dxa"/>
            <w:tcBorders>
              <w:top w:val="single" w:sz="4" w:space="0" w:color="auto"/>
              <w:bottom w:val="single" w:sz="4" w:space="0" w:color="auto"/>
            </w:tcBorders>
            <w:vAlign w:val="bottom"/>
          </w:tcPr>
          <w:p w14:paraId="274CE625" w14:textId="77777777" w:rsidR="008C676E" w:rsidRPr="005E386C" w:rsidRDefault="008C676E" w:rsidP="00AB1DC6">
            <w:pPr>
              <w:autoSpaceDE w:val="0"/>
              <w:autoSpaceDN w:val="0"/>
              <w:adjustRightInd w:val="0"/>
              <w:spacing w:after="0" w:line="0" w:lineRule="atLeast"/>
              <w:rPr>
                <w:rFonts w:ascii="Arial" w:eastAsia="Times New Roman" w:hAnsi="Arial" w:cs="Arial"/>
                <w:color w:val="000000"/>
                <w:sz w:val="20"/>
                <w:szCs w:val="20"/>
                <w:lang w:eastAsia="en-GB"/>
              </w:rPr>
            </w:pPr>
            <w:r w:rsidRPr="005E386C">
              <w:rPr>
                <w:rFonts w:ascii="Arial" w:eastAsia="Times New Roman" w:hAnsi="Arial" w:cs="Arial"/>
                <w:color w:val="000000"/>
                <w:sz w:val="20"/>
                <w:szCs w:val="20"/>
                <w:lang w:eastAsia="en-GB"/>
              </w:rPr>
              <w:t>Total deferred tax</w:t>
            </w:r>
          </w:p>
        </w:tc>
        <w:tc>
          <w:tcPr>
            <w:tcW w:w="1015" w:type="dxa"/>
            <w:tcBorders>
              <w:top w:val="single" w:sz="4" w:space="0" w:color="auto"/>
              <w:bottom w:val="single" w:sz="4" w:space="0" w:color="auto"/>
            </w:tcBorders>
            <w:vAlign w:val="bottom"/>
          </w:tcPr>
          <w:p w14:paraId="4C25D3A9" w14:textId="4675C3B9"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(2.</w:t>
            </w:r>
            <w:r w:rsidR="004F6977">
              <w:rPr>
                <w:rFonts w:ascii="Arial" w:hAnsi="Arial" w:cs="Arial"/>
                <w:b/>
                <w:bCs/>
                <w:color w:val="000000"/>
                <w:sz w:val="20"/>
                <w:szCs w:val="20"/>
              </w:rPr>
              <w:t>5</w:t>
            </w:r>
            <w:r w:rsidRPr="005E386C">
              <w:rPr>
                <w:rFonts w:ascii="Arial" w:hAnsi="Arial" w:cs="Arial"/>
                <w:b/>
                <w:bCs/>
                <w:color w:val="000000"/>
                <w:sz w:val="20"/>
                <w:szCs w:val="20"/>
              </w:rPr>
              <w:t>)</w:t>
            </w:r>
          </w:p>
        </w:tc>
        <w:tc>
          <w:tcPr>
            <w:tcW w:w="1016" w:type="dxa"/>
            <w:tcBorders>
              <w:top w:val="single" w:sz="4" w:space="0" w:color="auto"/>
              <w:bottom w:val="single" w:sz="4" w:space="0" w:color="auto"/>
            </w:tcBorders>
            <w:vAlign w:val="bottom"/>
          </w:tcPr>
          <w:p w14:paraId="6235D967" w14:textId="2EE275E3" w:rsidR="008C676E" w:rsidRPr="005E386C" w:rsidRDefault="004F6977"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(3.7)</w:t>
            </w:r>
          </w:p>
        </w:tc>
        <w:tc>
          <w:tcPr>
            <w:tcW w:w="1016" w:type="dxa"/>
            <w:tcBorders>
              <w:top w:val="single" w:sz="4" w:space="0" w:color="auto"/>
              <w:bottom w:val="single" w:sz="4" w:space="0" w:color="auto"/>
            </w:tcBorders>
            <w:vAlign w:val="bottom"/>
          </w:tcPr>
          <w:p w14:paraId="46E22A8C" w14:textId="40D14B99"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(3.</w:t>
            </w:r>
            <w:r w:rsidR="004F6977">
              <w:rPr>
                <w:rFonts w:ascii="Arial" w:hAnsi="Arial" w:cs="Arial"/>
                <w:b/>
                <w:bCs/>
                <w:color w:val="000000"/>
                <w:sz w:val="20"/>
                <w:szCs w:val="20"/>
              </w:rPr>
              <w:t>9</w:t>
            </w:r>
            <w:r w:rsidRPr="005E386C">
              <w:rPr>
                <w:rFonts w:ascii="Arial" w:hAnsi="Arial" w:cs="Arial"/>
                <w:b/>
                <w:bCs/>
                <w:color w:val="000000"/>
                <w:sz w:val="20"/>
                <w:szCs w:val="20"/>
              </w:rPr>
              <w:t>)</w:t>
            </w:r>
          </w:p>
        </w:tc>
        <w:tc>
          <w:tcPr>
            <w:tcW w:w="1016" w:type="dxa"/>
            <w:tcBorders>
              <w:top w:val="single" w:sz="4" w:space="0" w:color="auto"/>
              <w:bottom w:val="single" w:sz="4" w:space="0" w:color="auto"/>
            </w:tcBorders>
            <w:vAlign w:val="bottom"/>
          </w:tcPr>
          <w:p w14:paraId="6D870670"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(3.1)</w:t>
            </w:r>
          </w:p>
        </w:tc>
        <w:tc>
          <w:tcPr>
            <w:tcW w:w="1016" w:type="dxa"/>
            <w:tcBorders>
              <w:top w:val="single" w:sz="4" w:space="0" w:color="auto"/>
              <w:bottom w:val="single" w:sz="4" w:space="0" w:color="auto"/>
            </w:tcBorders>
            <w:vAlign w:val="bottom"/>
          </w:tcPr>
          <w:p w14:paraId="700EDEC3"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(6.4)</w:t>
            </w:r>
          </w:p>
        </w:tc>
        <w:tc>
          <w:tcPr>
            <w:tcW w:w="1016" w:type="dxa"/>
            <w:tcBorders>
              <w:top w:val="single" w:sz="4" w:space="0" w:color="auto"/>
              <w:bottom w:val="single" w:sz="4" w:space="0" w:color="auto"/>
            </w:tcBorders>
            <w:vAlign w:val="bottom"/>
          </w:tcPr>
          <w:p w14:paraId="0584C439"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(6.8)</w:t>
            </w:r>
          </w:p>
        </w:tc>
      </w:tr>
      <w:tr w:rsidR="008C676E" w:rsidRPr="00971647" w14:paraId="15684756" w14:textId="77777777" w:rsidTr="00AB1DC6">
        <w:trPr>
          <w:trHeight w:val="283"/>
        </w:trPr>
        <w:tc>
          <w:tcPr>
            <w:tcW w:w="3574" w:type="dxa"/>
            <w:tcBorders>
              <w:top w:val="single" w:sz="4" w:space="0" w:color="auto"/>
              <w:bottom w:val="double" w:sz="4" w:space="0" w:color="auto"/>
            </w:tcBorders>
            <w:vAlign w:val="bottom"/>
          </w:tcPr>
          <w:p w14:paraId="2D929686" w14:textId="77777777" w:rsidR="008C676E" w:rsidRPr="00F72BA1" w:rsidRDefault="008C676E" w:rsidP="00AB1DC6">
            <w:pPr>
              <w:autoSpaceDE w:val="0"/>
              <w:autoSpaceDN w:val="0"/>
              <w:adjustRightInd w:val="0"/>
              <w:spacing w:after="0" w:line="0" w:lineRule="atLeast"/>
              <w:rPr>
                <w:rFonts w:ascii="Arial" w:eastAsia="Times New Roman" w:hAnsi="Arial" w:cs="Arial"/>
                <w:b/>
                <w:bCs/>
                <w:color w:val="000000"/>
                <w:sz w:val="20"/>
                <w:szCs w:val="20"/>
                <w:lang w:eastAsia="en-GB"/>
              </w:rPr>
            </w:pPr>
            <w:r w:rsidRPr="00F72BA1">
              <w:rPr>
                <w:rFonts w:ascii="Arial" w:eastAsia="Times New Roman" w:hAnsi="Arial" w:cs="Arial"/>
                <w:b/>
                <w:bCs/>
                <w:color w:val="000000"/>
                <w:sz w:val="20"/>
                <w:szCs w:val="20"/>
                <w:lang w:eastAsia="en-GB"/>
              </w:rPr>
              <w:t>Total tax (credit)/charge</w:t>
            </w:r>
          </w:p>
        </w:tc>
        <w:tc>
          <w:tcPr>
            <w:tcW w:w="1015" w:type="dxa"/>
            <w:tcBorders>
              <w:top w:val="single" w:sz="4" w:space="0" w:color="auto"/>
              <w:bottom w:val="double" w:sz="4" w:space="0" w:color="auto"/>
            </w:tcBorders>
            <w:vAlign w:val="bottom"/>
          </w:tcPr>
          <w:p w14:paraId="6BA5701D" w14:textId="384E0705" w:rsidR="008C676E" w:rsidRPr="00F72BA1" w:rsidRDefault="004F6977"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(3.2)</w:t>
            </w:r>
          </w:p>
        </w:tc>
        <w:tc>
          <w:tcPr>
            <w:tcW w:w="1016" w:type="dxa"/>
            <w:tcBorders>
              <w:top w:val="single" w:sz="4" w:space="0" w:color="auto"/>
              <w:bottom w:val="double" w:sz="4" w:space="0" w:color="auto"/>
            </w:tcBorders>
            <w:vAlign w:val="bottom"/>
          </w:tcPr>
          <w:p w14:paraId="44CAF5C8" w14:textId="77777777" w:rsidR="008C676E" w:rsidRPr="00F72BA1" w:rsidRDefault="008C676E" w:rsidP="00AB1DC6">
            <w:pPr>
              <w:autoSpaceDE w:val="0"/>
              <w:autoSpaceDN w:val="0"/>
              <w:adjustRightInd w:val="0"/>
              <w:spacing w:after="0" w:line="0" w:lineRule="atLeast"/>
              <w:jc w:val="right"/>
              <w:rPr>
                <w:rFonts w:ascii="Arial" w:hAnsi="Arial" w:cs="Arial"/>
                <w:color w:val="000000"/>
                <w:sz w:val="20"/>
                <w:szCs w:val="20"/>
              </w:rPr>
            </w:pPr>
            <w:r w:rsidRPr="00F72BA1">
              <w:rPr>
                <w:rFonts w:ascii="Arial" w:hAnsi="Arial" w:cs="Arial"/>
                <w:color w:val="000000"/>
                <w:sz w:val="20"/>
                <w:szCs w:val="20"/>
              </w:rPr>
              <w:t>(2.8)</w:t>
            </w:r>
          </w:p>
        </w:tc>
        <w:tc>
          <w:tcPr>
            <w:tcW w:w="1016" w:type="dxa"/>
            <w:tcBorders>
              <w:top w:val="single" w:sz="4" w:space="0" w:color="auto"/>
              <w:bottom w:val="double" w:sz="4" w:space="0" w:color="auto"/>
            </w:tcBorders>
            <w:vAlign w:val="bottom"/>
          </w:tcPr>
          <w:p w14:paraId="3943CD34" w14:textId="24702DE0" w:rsidR="008C676E" w:rsidRPr="00F72BA1" w:rsidRDefault="004F6977"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2.5</w:t>
            </w:r>
          </w:p>
        </w:tc>
        <w:tc>
          <w:tcPr>
            <w:tcW w:w="1016" w:type="dxa"/>
            <w:tcBorders>
              <w:top w:val="single" w:sz="4" w:space="0" w:color="auto"/>
              <w:bottom w:val="double" w:sz="4" w:space="0" w:color="auto"/>
            </w:tcBorders>
            <w:vAlign w:val="bottom"/>
          </w:tcPr>
          <w:p w14:paraId="79240BAB" w14:textId="77777777" w:rsidR="008C676E" w:rsidRPr="00F72BA1" w:rsidRDefault="008C676E" w:rsidP="00AB1DC6">
            <w:pPr>
              <w:autoSpaceDE w:val="0"/>
              <w:autoSpaceDN w:val="0"/>
              <w:adjustRightInd w:val="0"/>
              <w:spacing w:after="0" w:line="0" w:lineRule="atLeast"/>
              <w:jc w:val="right"/>
              <w:rPr>
                <w:rFonts w:ascii="Arial" w:hAnsi="Arial" w:cs="Arial"/>
                <w:color w:val="000000"/>
                <w:sz w:val="20"/>
                <w:szCs w:val="20"/>
              </w:rPr>
            </w:pPr>
            <w:r w:rsidRPr="00F72BA1">
              <w:rPr>
                <w:rFonts w:ascii="Arial" w:hAnsi="Arial" w:cs="Arial"/>
                <w:color w:val="000000"/>
                <w:sz w:val="20"/>
                <w:szCs w:val="20"/>
              </w:rPr>
              <w:t>(0.3)</w:t>
            </w:r>
          </w:p>
        </w:tc>
        <w:tc>
          <w:tcPr>
            <w:tcW w:w="1016" w:type="dxa"/>
            <w:tcBorders>
              <w:top w:val="single" w:sz="4" w:space="0" w:color="auto"/>
              <w:bottom w:val="double" w:sz="4" w:space="0" w:color="auto"/>
            </w:tcBorders>
            <w:vAlign w:val="bottom"/>
          </w:tcPr>
          <w:p w14:paraId="76E09FC5" w14:textId="77777777" w:rsidR="008C676E" w:rsidRPr="00F72BA1" w:rsidRDefault="008C676E" w:rsidP="00AB1DC6">
            <w:pPr>
              <w:autoSpaceDE w:val="0"/>
              <w:autoSpaceDN w:val="0"/>
              <w:adjustRightInd w:val="0"/>
              <w:spacing w:after="0" w:line="0" w:lineRule="atLeast"/>
              <w:jc w:val="right"/>
              <w:rPr>
                <w:rFonts w:ascii="Arial" w:hAnsi="Arial" w:cs="Arial"/>
                <w:b/>
                <w:bCs/>
                <w:color w:val="000000"/>
                <w:sz w:val="20"/>
                <w:szCs w:val="20"/>
              </w:rPr>
            </w:pPr>
            <w:r w:rsidRPr="00F72BA1">
              <w:rPr>
                <w:rFonts w:ascii="Arial" w:hAnsi="Arial" w:cs="Arial"/>
                <w:b/>
                <w:bCs/>
                <w:color w:val="000000"/>
                <w:sz w:val="20"/>
                <w:szCs w:val="20"/>
              </w:rPr>
              <w:t>(0.7)</w:t>
            </w:r>
          </w:p>
        </w:tc>
        <w:tc>
          <w:tcPr>
            <w:tcW w:w="1016" w:type="dxa"/>
            <w:tcBorders>
              <w:top w:val="single" w:sz="4" w:space="0" w:color="auto"/>
              <w:bottom w:val="double" w:sz="4" w:space="0" w:color="auto"/>
            </w:tcBorders>
            <w:vAlign w:val="bottom"/>
          </w:tcPr>
          <w:p w14:paraId="225E4420" w14:textId="77777777" w:rsidR="008C676E" w:rsidRPr="00F72BA1" w:rsidRDefault="008C676E" w:rsidP="00AB1DC6">
            <w:pPr>
              <w:autoSpaceDE w:val="0"/>
              <w:autoSpaceDN w:val="0"/>
              <w:adjustRightInd w:val="0"/>
              <w:spacing w:after="0" w:line="0" w:lineRule="atLeast"/>
              <w:jc w:val="right"/>
              <w:rPr>
                <w:rFonts w:ascii="Arial" w:hAnsi="Arial" w:cs="Arial"/>
                <w:color w:val="000000"/>
                <w:sz w:val="20"/>
                <w:szCs w:val="20"/>
              </w:rPr>
            </w:pPr>
            <w:r w:rsidRPr="00F72BA1">
              <w:rPr>
                <w:rFonts w:ascii="Arial" w:hAnsi="Arial" w:cs="Arial"/>
                <w:color w:val="000000"/>
                <w:sz w:val="20"/>
                <w:szCs w:val="20"/>
              </w:rPr>
              <w:t>(3.1)</w:t>
            </w:r>
          </w:p>
        </w:tc>
      </w:tr>
    </w:tbl>
    <w:p w14:paraId="5C855B33" w14:textId="77777777" w:rsidR="008C676E" w:rsidRPr="00372825" w:rsidRDefault="008C676E" w:rsidP="008C676E">
      <w:pPr>
        <w:spacing w:after="0" w:line="240" w:lineRule="auto"/>
        <w:jc w:val="both"/>
        <w:rPr>
          <w:rFonts w:ascii="Arial" w:eastAsia="Times New Roman" w:hAnsi="Arial" w:cs="Arial"/>
          <w:color w:val="000000"/>
          <w:sz w:val="20"/>
          <w:szCs w:val="20"/>
          <w:lang w:eastAsia="en-GB"/>
        </w:rPr>
      </w:pPr>
    </w:p>
    <w:p w14:paraId="4B4DC5F8" w14:textId="77777777" w:rsidR="008C676E" w:rsidRPr="00372825" w:rsidRDefault="008C676E" w:rsidP="008C676E">
      <w:pPr>
        <w:spacing w:after="0" w:line="240" w:lineRule="auto"/>
        <w:jc w:val="both"/>
        <w:rPr>
          <w:rFonts w:ascii="Arial" w:eastAsia="Times New Roman" w:hAnsi="Arial" w:cs="Arial"/>
          <w:color w:val="000000"/>
          <w:sz w:val="20"/>
          <w:szCs w:val="20"/>
          <w:lang w:eastAsia="en-GB"/>
        </w:rPr>
      </w:pPr>
    </w:p>
    <w:p w14:paraId="01B0A81E" w14:textId="77777777" w:rsidR="008C676E" w:rsidRDefault="008C676E" w:rsidP="008C676E">
      <w:pPr>
        <w:spacing w:after="0" w:line="240" w:lineRule="auto"/>
        <w:jc w:val="both"/>
        <w:rPr>
          <w:rFonts w:ascii="Arial" w:eastAsia="Times New Roman" w:hAnsi="Arial" w:cs="Arial"/>
          <w:color w:val="000000"/>
          <w:sz w:val="20"/>
          <w:szCs w:val="20"/>
          <w:lang w:eastAsia="en-GB"/>
        </w:rPr>
      </w:pPr>
      <w:r w:rsidRPr="00372825">
        <w:rPr>
          <w:rFonts w:ascii="Arial" w:eastAsia="Times New Roman" w:hAnsi="Arial" w:cs="Arial"/>
          <w:color w:val="000000"/>
          <w:sz w:val="20"/>
          <w:szCs w:val="20"/>
          <w:lang w:eastAsia="en-GB"/>
        </w:rPr>
        <w:t>The charge for the year can be reconciled to the profit in the Consolidated Statement of Comprehensive income as follows:</w:t>
      </w:r>
    </w:p>
    <w:p w14:paraId="0A0A7000" w14:textId="77777777" w:rsidR="0051500E" w:rsidRDefault="0051500E" w:rsidP="008C676E">
      <w:pPr>
        <w:spacing w:after="0" w:line="240" w:lineRule="auto"/>
        <w:jc w:val="both"/>
        <w:rPr>
          <w:rFonts w:ascii="Arial" w:eastAsia="Times New Roman" w:hAnsi="Arial" w:cs="Arial"/>
          <w:color w:val="000000"/>
          <w:sz w:val="20"/>
          <w:szCs w:val="20"/>
          <w:lang w:eastAsia="en-GB"/>
        </w:rPr>
      </w:pPr>
    </w:p>
    <w:p w14:paraId="5AAE3098" w14:textId="77777777" w:rsidR="0051500E" w:rsidRDefault="0051500E" w:rsidP="008C676E">
      <w:pPr>
        <w:spacing w:after="0" w:line="240" w:lineRule="auto"/>
        <w:jc w:val="both"/>
        <w:rPr>
          <w:rFonts w:ascii="Arial" w:eastAsia="Times New Roman" w:hAnsi="Arial" w:cs="Arial"/>
          <w:color w:val="000000"/>
          <w:sz w:val="20"/>
          <w:szCs w:val="20"/>
          <w:lang w:eastAsia="en-GB"/>
        </w:rPr>
      </w:pPr>
    </w:p>
    <w:p w14:paraId="10FE62A0" w14:textId="77777777" w:rsidR="0051500E" w:rsidRDefault="0051500E" w:rsidP="008C676E">
      <w:pPr>
        <w:spacing w:after="0" w:line="240" w:lineRule="auto"/>
        <w:jc w:val="both"/>
        <w:rPr>
          <w:rFonts w:ascii="Arial" w:eastAsia="Times New Roman" w:hAnsi="Arial" w:cs="Arial"/>
          <w:color w:val="000000"/>
          <w:sz w:val="20"/>
          <w:szCs w:val="20"/>
          <w:lang w:eastAsia="en-GB"/>
        </w:rPr>
      </w:pPr>
    </w:p>
    <w:p w14:paraId="4E0C1A59" w14:textId="77777777" w:rsidR="003F4669" w:rsidRDefault="003F4669" w:rsidP="008C676E">
      <w:pPr>
        <w:spacing w:after="0" w:line="240" w:lineRule="auto"/>
        <w:jc w:val="both"/>
        <w:rPr>
          <w:rFonts w:ascii="Arial" w:eastAsia="Times New Roman" w:hAnsi="Arial" w:cs="Arial"/>
          <w:color w:val="000000"/>
          <w:sz w:val="20"/>
          <w:szCs w:val="20"/>
          <w:lang w:eastAsia="en-GB"/>
        </w:rPr>
      </w:pPr>
    </w:p>
    <w:p w14:paraId="7D54C5A8" w14:textId="77777777" w:rsidR="003F4669" w:rsidRDefault="003F4669" w:rsidP="008C676E">
      <w:pPr>
        <w:spacing w:after="0" w:line="240" w:lineRule="auto"/>
        <w:jc w:val="both"/>
        <w:rPr>
          <w:rFonts w:ascii="Arial" w:eastAsia="Times New Roman" w:hAnsi="Arial" w:cs="Arial"/>
          <w:color w:val="000000"/>
          <w:sz w:val="20"/>
          <w:szCs w:val="20"/>
          <w:lang w:eastAsia="en-GB"/>
        </w:rPr>
      </w:pPr>
    </w:p>
    <w:p w14:paraId="5456E28B" w14:textId="77777777" w:rsidR="0051500E" w:rsidRDefault="0051500E" w:rsidP="008C676E">
      <w:pPr>
        <w:spacing w:after="0" w:line="240" w:lineRule="auto"/>
        <w:jc w:val="both"/>
        <w:rPr>
          <w:rFonts w:ascii="Arial" w:eastAsia="Times New Roman" w:hAnsi="Arial" w:cs="Arial"/>
          <w:color w:val="000000"/>
          <w:sz w:val="20"/>
          <w:szCs w:val="20"/>
          <w:lang w:eastAsia="en-GB"/>
        </w:rPr>
      </w:pPr>
    </w:p>
    <w:p w14:paraId="12EF6907" w14:textId="77777777" w:rsidR="0051500E" w:rsidRDefault="0051500E" w:rsidP="008C676E">
      <w:pPr>
        <w:spacing w:after="0" w:line="240" w:lineRule="auto"/>
        <w:jc w:val="both"/>
        <w:rPr>
          <w:rFonts w:ascii="Arial" w:eastAsia="Times New Roman" w:hAnsi="Arial" w:cs="Arial"/>
          <w:color w:val="000000"/>
          <w:sz w:val="20"/>
          <w:szCs w:val="20"/>
          <w:lang w:eastAsia="en-GB"/>
        </w:rPr>
      </w:pPr>
    </w:p>
    <w:p w14:paraId="616C4CBC" w14:textId="77777777" w:rsidR="00A139D5" w:rsidRDefault="00A139D5" w:rsidP="008C676E">
      <w:pPr>
        <w:spacing w:after="0" w:line="240" w:lineRule="auto"/>
        <w:jc w:val="both"/>
        <w:rPr>
          <w:rFonts w:ascii="Arial" w:eastAsia="Times New Roman" w:hAnsi="Arial" w:cs="Arial"/>
          <w:color w:val="000000"/>
          <w:sz w:val="20"/>
          <w:szCs w:val="20"/>
          <w:lang w:eastAsia="en-GB"/>
        </w:rPr>
      </w:pPr>
    </w:p>
    <w:p w14:paraId="3752C2AF" w14:textId="77777777" w:rsidR="00A139D5" w:rsidRDefault="00A139D5" w:rsidP="008C676E">
      <w:pPr>
        <w:spacing w:after="0" w:line="240" w:lineRule="auto"/>
        <w:jc w:val="both"/>
        <w:rPr>
          <w:rFonts w:ascii="Arial" w:eastAsia="Times New Roman" w:hAnsi="Arial" w:cs="Arial"/>
          <w:color w:val="000000"/>
          <w:sz w:val="20"/>
          <w:szCs w:val="20"/>
          <w:lang w:eastAsia="en-GB"/>
        </w:rPr>
      </w:pPr>
    </w:p>
    <w:p w14:paraId="1C81F780" w14:textId="77777777" w:rsidR="00A139D5" w:rsidRPr="00372825" w:rsidRDefault="00A139D5" w:rsidP="008C676E">
      <w:pPr>
        <w:spacing w:after="0" w:line="240" w:lineRule="auto"/>
        <w:jc w:val="both"/>
        <w:rPr>
          <w:rFonts w:ascii="Arial" w:eastAsia="Times New Roman" w:hAnsi="Arial" w:cs="Arial"/>
          <w:color w:val="000000"/>
          <w:sz w:val="20"/>
          <w:szCs w:val="20"/>
          <w:lang w:eastAsia="en-GB"/>
        </w:rPr>
      </w:pPr>
    </w:p>
    <w:p w14:paraId="712E4563" w14:textId="77777777" w:rsidR="008C676E" w:rsidRPr="00372825" w:rsidRDefault="008C676E" w:rsidP="008C676E">
      <w:pPr>
        <w:spacing w:after="0" w:line="240" w:lineRule="auto"/>
        <w:jc w:val="both"/>
        <w:rPr>
          <w:rFonts w:ascii="Arial" w:eastAsia="Times New Roman" w:hAnsi="Arial" w:cs="Arial"/>
          <w:color w:val="000000"/>
          <w:sz w:val="20"/>
          <w:szCs w:val="20"/>
          <w:lang w:eastAsia="en-GB"/>
        </w:rPr>
      </w:pPr>
    </w:p>
    <w:tbl>
      <w:tblPr>
        <w:tblW w:w="10236" w:type="dxa"/>
        <w:tblInd w:w="-30" w:type="dxa"/>
        <w:tblLayout w:type="fixed"/>
        <w:tblLook w:val="0000" w:firstRow="0" w:lastRow="0" w:firstColumn="0" w:lastColumn="0" w:noHBand="0" w:noVBand="0"/>
      </w:tblPr>
      <w:tblGrid>
        <w:gridCol w:w="3574"/>
        <w:gridCol w:w="992"/>
        <w:gridCol w:w="1134"/>
        <w:gridCol w:w="1134"/>
        <w:gridCol w:w="1134"/>
        <w:gridCol w:w="1134"/>
        <w:gridCol w:w="1134"/>
      </w:tblGrid>
      <w:tr w:rsidR="008C676E" w:rsidRPr="00971647" w14:paraId="2C831961" w14:textId="77777777" w:rsidTr="00AB1DC6">
        <w:trPr>
          <w:trHeight w:val="283"/>
        </w:trPr>
        <w:tc>
          <w:tcPr>
            <w:tcW w:w="3574" w:type="dxa"/>
            <w:tcBorders>
              <w:top w:val="nil"/>
              <w:left w:val="nil"/>
              <w:bottom w:val="single" w:sz="4" w:space="0" w:color="auto"/>
              <w:right w:val="nil"/>
            </w:tcBorders>
            <w:vAlign w:val="bottom"/>
          </w:tcPr>
          <w:p w14:paraId="1728D38B"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2126" w:type="dxa"/>
            <w:gridSpan w:val="2"/>
            <w:tcBorders>
              <w:top w:val="nil"/>
              <w:left w:val="nil"/>
              <w:bottom w:val="single" w:sz="4" w:space="0" w:color="auto"/>
              <w:right w:val="nil"/>
            </w:tcBorders>
            <w:vAlign w:val="center"/>
          </w:tcPr>
          <w:p w14:paraId="1448272F" w14:textId="77777777" w:rsidR="008C676E" w:rsidRPr="00372825" w:rsidRDefault="008C676E" w:rsidP="00AB1DC6">
            <w:pPr>
              <w:autoSpaceDE w:val="0"/>
              <w:autoSpaceDN w:val="0"/>
              <w:adjustRightInd w:val="0"/>
              <w:spacing w:after="0" w:line="0" w:lineRule="atLeast"/>
              <w:jc w:val="center"/>
              <w:rPr>
                <w:rFonts w:ascii="Arial" w:hAnsi="Arial" w:cs="Arial"/>
                <w:b/>
                <w:bCs/>
                <w:color w:val="000000"/>
                <w:sz w:val="20"/>
                <w:szCs w:val="20"/>
              </w:rPr>
            </w:pPr>
            <w:r w:rsidRPr="00971647">
              <w:rPr>
                <w:rFonts w:ascii="Arial" w:hAnsi="Arial" w:cs="Arial"/>
                <w:b/>
                <w:bCs/>
                <w:color w:val="000000"/>
                <w:sz w:val="20"/>
                <w:szCs w:val="20"/>
              </w:rPr>
              <w:t>Continuing operations</w:t>
            </w:r>
          </w:p>
        </w:tc>
        <w:tc>
          <w:tcPr>
            <w:tcW w:w="2268" w:type="dxa"/>
            <w:gridSpan w:val="2"/>
            <w:tcBorders>
              <w:left w:val="nil"/>
              <w:bottom w:val="single" w:sz="4" w:space="0" w:color="auto"/>
              <w:right w:val="nil"/>
            </w:tcBorders>
            <w:vAlign w:val="center"/>
          </w:tcPr>
          <w:p w14:paraId="2F13E595" w14:textId="77777777" w:rsidR="008C676E" w:rsidRPr="00372825" w:rsidRDefault="008C676E" w:rsidP="00AB1DC6">
            <w:pPr>
              <w:autoSpaceDE w:val="0"/>
              <w:autoSpaceDN w:val="0"/>
              <w:adjustRightInd w:val="0"/>
              <w:spacing w:after="0" w:line="0" w:lineRule="atLeast"/>
              <w:jc w:val="center"/>
              <w:rPr>
                <w:rFonts w:ascii="Arial" w:hAnsi="Arial" w:cs="Arial"/>
                <w:b/>
                <w:bCs/>
                <w:color w:val="000000"/>
                <w:sz w:val="20"/>
                <w:szCs w:val="20"/>
              </w:rPr>
            </w:pPr>
            <w:r w:rsidRPr="00971647">
              <w:rPr>
                <w:rFonts w:ascii="Arial" w:hAnsi="Arial" w:cs="Arial"/>
                <w:b/>
                <w:bCs/>
                <w:color w:val="000000"/>
                <w:sz w:val="20"/>
                <w:szCs w:val="20"/>
              </w:rPr>
              <w:t>Discontinued operations</w:t>
            </w:r>
          </w:p>
        </w:tc>
        <w:tc>
          <w:tcPr>
            <w:tcW w:w="2268" w:type="dxa"/>
            <w:gridSpan w:val="2"/>
            <w:tcBorders>
              <w:left w:val="nil"/>
              <w:bottom w:val="single" w:sz="4" w:space="0" w:color="auto"/>
              <w:right w:val="nil"/>
            </w:tcBorders>
            <w:vAlign w:val="center"/>
          </w:tcPr>
          <w:p w14:paraId="295B3EC0" w14:textId="77777777" w:rsidR="008C676E" w:rsidRPr="00372825" w:rsidRDefault="008C676E" w:rsidP="00AB1DC6">
            <w:pPr>
              <w:autoSpaceDE w:val="0"/>
              <w:autoSpaceDN w:val="0"/>
              <w:adjustRightInd w:val="0"/>
              <w:spacing w:after="0" w:line="0" w:lineRule="atLeast"/>
              <w:jc w:val="center"/>
              <w:rPr>
                <w:rFonts w:ascii="Arial" w:hAnsi="Arial" w:cs="Arial"/>
                <w:b/>
                <w:bCs/>
                <w:color w:val="000000"/>
                <w:sz w:val="20"/>
                <w:szCs w:val="20"/>
              </w:rPr>
            </w:pPr>
            <w:r w:rsidRPr="00971647">
              <w:rPr>
                <w:rFonts w:ascii="Arial" w:hAnsi="Arial" w:cs="Arial"/>
                <w:b/>
                <w:bCs/>
                <w:color w:val="000000"/>
                <w:sz w:val="20"/>
                <w:szCs w:val="20"/>
              </w:rPr>
              <w:t>Total</w:t>
            </w:r>
          </w:p>
        </w:tc>
      </w:tr>
      <w:tr w:rsidR="008C676E" w:rsidRPr="00971647" w14:paraId="4307409E" w14:textId="77777777" w:rsidTr="00AB1DC6">
        <w:trPr>
          <w:trHeight w:val="283"/>
        </w:trPr>
        <w:tc>
          <w:tcPr>
            <w:tcW w:w="3574" w:type="dxa"/>
            <w:tcBorders>
              <w:top w:val="single" w:sz="4" w:space="0" w:color="auto"/>
              <w:left w:val="nil"/>
              <w:bottom w:val="nil"/>
              <w:right w:val="nil"/>
            </w:tcBorders>
            <w:vAlign w:val="bottom"/>
          </w:tcPr>
          <w:p w14:paraId="3C71589C"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992" w:type="dxa"/>
            <w:tcBorders>
              <w:top w:val="single" w:sz="4" w:space="0" w:color="auto"/>
              <w:left w:val="nil"/>
              <w:bottom w:val="nil"/>
              <w:right w:val="nil"/>
            </w:tcBorders>
            <w:vAlign w:val="bottom"/>
          </w:tcPr>
          <w:p w14:paraId="63611F41" w14:textId="77777777" w:rsidR="008C676E" w:rsidRPr="00372825"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372825">
              <w:rPr>
                <w:rFonts w:ascii="Arial" w:hAnsi="Arial" w:cs="Arial"/>
                <w:b/>
                <w:bCs/>
                <w:color w:val="000000"/>
                <w:sz w:val="20"/>
                <w:szCs w:val="20"/>
              </w:rPr>
              <w:t>2024</w:t>
            </w:r>
          </w:p>
          <w:p w14:paraId="1FF8DE80" w14:textId="77777777" w:rsidR="008C676E" w:rsidRPr="00372825"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372825">
              <w:rPr>
                <w:rFonts w:ascii="Arial" w:hAnsi="Arial" w:cs="Arial"/>
                <w:b/>
                <w:bCs/>
                <w:color w:val="000000"/>
                <w:sz w:val="20"/>
                <w:szCs w:val="20"/>
              </w:rPr>
              <w:t>£’m</w:t>
            </w:r>
          </w:p>
        </w:tc>
        <w:tc>
          <w:tcPr>
            <w:tcW w:w="1134" w:type="dxa"/>
            <w:tcBorders>
              <w:top w:val="single" w:sz="4" w:space="0" w:color="auto"/>
              <w:left w:val="nil"/>
              <w:bottom w:val="nil"/>
              <w:right w:val="nil"/>
            </w:tcBorders>
            <w:vAlign w:val="bottom"/>
          </w:tcPr>
          <w:p w14:paraId="297C9ED5"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2023</w:t>
            </w:r>
          </w:p>
          <w:p w14:paraId="2CE60C0D"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£’m</w:t>
            </w:r>
          </w:p>
        </w:tc>
        <w:tc>
          <w:tcPr>
            <w:tcW w:w="1134" w:type="dxa"/>
            <w:tcBorders>
              <w:top w:val="single" w:sz="4" w:space="0" w:color="auto"/>
              <w:left w:val="nil"/>
              <w:bottom w:val="nil"/>
              <w:right w:val="nil"/>
            </w:tcBorders>
            <w:vAlign w:val="bottom"/>
          </w:tcPr>
          <w:p w14:paraId="10690AD2" w14:textId="77777777" w:rsidR="008C676E" w:rsidRPr="00372825"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372825">
              <w:rPr>
                <w:rFonts w:ascii="Arial" w:hAnsi="Arial" w:cs="Arial"/>
                <w:b/>
                <w:bCs/>
                <w:color w:val="000000"/>
                <w:sz w:val="20"/>
                <w:szCs w:val="20"/>
              </w:rPr>
              <w:t>2024</w:t>
            </w:r>
          </w:p>
          <w:p w14:paraId="28D0C154"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£’m</w:t>
            </w:r>
          </w:p>
        </w:tc>
        <w:tc>
          <w:tcPr>
            <w:tcW w:w="1134" w:type="dxa"/>
            <w:tcBorders>
              <w:top w:val="single" w:sz="4" w:space="0" w:color="auto"/>
              <w:left w:val="nil"/>
              <w:bottom w:val="nil"/>
              <w:right w:val="nil"/>
            </w:tcBorders>
            <w:vAlign w:val="bottom"/>
          </w:tcPr>
          <w:p w14:paraId="6B957F57"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2023</w:t>
            </w:r>
          </w:p>
          <w:p w14:paraId="614325EA"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£’m</w:t>
            </w:r>
          </w:p>
        </w:tc>
        <w:tc>
          <w:tcPr>
            <w:tcW w:w="1134" w:type="dxa"/>
            <w:tcBorders>
              <w:top w:val="single" w:sz="4" w:space="0" w:color="auto"/>
              <w:left w:val="nil"/>
              <w:bottom w:val="nil"/>
              <w:right w:val="nil"/>
            </w:tcBorders>
            <w:vAlign w:val="bottom"/>
          </w:tcPr>
          <w:p w14:paraId="68125ED8" w14:textId="77777777" w:rsidR="008C676E" w:rsidRPr="00372825"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372825">
              <w:rPr>
                <w:rFonts w:ascii="Arial" w:hAnsi="Arial" w:cs="Arial"/>
                <w:b/>
                <w:bCs/>
                <w:color w:val="000000"/>
                <w:sz w:val="20"/>
                <w:szCs w:val="20"/>
              </w:rPr>
              <w:t>2024</w:t>
            </w:r>
          </w:p>
          <w:p w14:paraId="23CD6055"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£’m</w:t>
            </w:r>
          </w:p>
        </w:tc>
        <w:tc>
          <w:tcPr>
            <w:tcW w:w="1134" w:type="dxa"/>
            <w:tcBorders>
              <w:top w:val="single" w:sz="4" w:space="0" w:color="auto"/>
              <w:left w:val="nil"/>
              <w:bottom w:val="nil"/>
              <w:right w:val="nil"/>
            </w:tcBorders>
            <w:vAlign w:val="bottom"/>
          </w:tcPr>
          <w:p w14:paraId="18F56AE2"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2023</w:t>
            </w:r>
          </w:p>
          <w:p w14:paraId="1A1216F4"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£’m</w:t>
            </w:r>
          </w:p>
        </w:tc>
      </w:tr>
      <w:tr w:rsidR="008C676E" w:rsidRPr="00971647" w14:paraId="6FDD0589" w14:textId="77777777" w:rsidTr="00AB1DC6">
        <w:trPr>
          <w:trHeight w:val="283"/>
        </w:trPr>
        <w:tc>
          <w:tcPr>
            <w:tcW w:w="3574" w:type="dxa"/>
            <w:tcBorders>
              <w:top w:val="single" w:sz="6" w:space="0" w:color="auto"/>
              <w:left w:val="nil"/>
              <w:right w:val="nil"/>
            </w:tcBorders>
            <w:vAlign w:val="bottom"/>
          </w:tcPr>
          <w:p w14:paraId="0846CD29" w14:textId="77777777" w:rsidR="008C676E" w:rsidRPr="00372825" w:rsidRDefault="008C676E" w:rsidP="00AB1DC6">
            <w:pPr>
              <w:autoSpaceDE w:val="0"/>
              <w:autoSpaceDN w:val="0"/>
              <w:adjustRightInd w:val="0"/>
              <w:spacing w:after="0" w:line="0" w:lineRule="atLeast"/>
              <w:rPr>
                <w:rFonts w:ascii="Arial" w:hAnsi="Arial" w:cs="Arial"/>
                <w:color w:val="000000"/>
                <w:sz w:val="20"/>
                <w:szCs w:val="20"/>
              </w:rPr>
            </w:pPr>
            <w:r w:rsidRPr="00372825">
              <w:rPr>
                <w:rFonts w:ascii="Arial" w:eastAsia="Times New Roman" w:hAnsi="Arial" w:cs="Arial"/>
                <w:color w:val="000000"/>
                <w:sz w:val="20"/>
                <w:szCs w:val="20"/>
                <w:lang w:eastAsia="en-GB"/>
              </w:rPr>
              <w:t>(Loss)/profit before tax</w:t>
            </w:r>
          </w:p>
        </w:tc>
        <w:tc>
          <w:tcPr>
            <w:tcW w:w="992" w:type="dxa"/>
            <w:tcBorders>
              <w:top w:val="single" w:sz="6" w:space="0" w:color="auto"/>
              <w:left w:val="nil"/>
              <w:right w:val="nil"/>
            </w:tcBorders>
            <w:vAlign w:val="bottom"/>
          </w:tcPr>
          <w:p w14:paraId="1F39569E"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(16.9)</w:t>
            </w:r>
          </w:p>
        </w:tc>
        <w:tc>
          <w:tcPr>
            <w:tcW w:w="1134" w:type="dxa"/>
            <w:tcBorders>
              <w:top w:val="single" w:sz="6" w:space="0" w:color="auto"/>
              <w:left w:val="nil"/>
              <w:right w:val="nil"/>
            </w:tcBorders>
            <w:vAlign w:val="bottom"/>
          </w:tcPr>
          <w:p w14:paraId="75BCB221"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(4.5)</w:t>
            </w:r>
          </w:p>
        </w:tc>
        <w:tc>
          <w:tcPr>
            <w:tcW w:w="1134" w:type="dxa"/>
            <w:tcBorders>
              <w:top w:val="single" w:sz="6" w:space="0" w:color="auto"/>
              <w:left w:val="nil"/>
              <w:right w:val="nil"/>
            </w:tcBorders>
            <w:vAlign w:val="bottom"/>
          </w:tcPr>
          <w:p w14:paraId="630A87CF"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6.0</w:t>
            </w:r>
          </w:p>
        </w:tc>
        <w:tc>
          <w:tcPr>
            <w:tcW w:w="1134" w:type="dxa"/>
            <w:tcBorders>
              <w:top w:val="single" w:sz="6" w:space="0" w:color="auto"/>
              <w:left w:val="nil"/>
              <w:right w:val="nil"/>
            </w:tcBorders>
            <w:vAlign w:val="bottom"/>
          </w:tcPr>
          <w:p w14:paraId="2608F8BA"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(2.4)</w:t>
            </w:r>
          </w:p>
        </w:tc>
        <w:tc>
          <w:tcPr>
            <w:tcW w:w="1134" w:type="dxa"/>
            <w:tcBorders>
              <w:top w:val="single" w:sz="6" w:space="0" w:color="auto"/>
              <w:left w:val="nil"/>
              <w:right w:val="nil"/>
            </w:tcBorders>
            <w:vAlign w:val="bottom"/>
          </w:tcPr>
          <w:p w14:paraId="413AB9F5"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(10.9)</w:t>
            </w:r>
          </w:p>
        </w:tc>
        <w:tc>
          <w:tcPr>
            <w:tcW w:w="1134" w:type="dxa"/>
            <w:tcBorders>
              <w:top w:val="single" w:sz="6" w:space="0" w:color="auto"/>
              <w:left w:val="nil"/>
              <w:right w:val="nil"/>
            </w:tcBorders>
            <w:vAlign w:val="bottom"/>
          </w:tcPr>
          <w:p w14:paraId="04FCC34D"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(6.9)</w:t>
            </w:r>
          </w:p>
        </w:tc>
      </w:tr>
      <w:tr w:rsidR="008C676E" w:rsidRPr="00971647" w14:paraId="687B1756" w14:textId="77777777" w:rsidTr="00AB1DC6">
        <w:trPr>
          <w:trHeight w:val="283"/>
        </w:trPr>
        <w:tc>
          <w:tcPr>
            <w:tcW w:w="3574" w:type="dxa"/>
            <w:tcBorders>
              <w:left w:val="nil"/>
              <w:right w:val="nil"/>
            </w:tcBorders>
            <w:vAlign w:val="bottom"/>
          </w:tcPr>
          <w:p w14:paraId="0D2A4B30" w14:textId="18F405E0" w:rsidR="008C676E" w:rsidRPr="00372825" w:rsidRDefault="008C676E" w:rsidP="00AB1DC6">
            <w:pPr>
              <w:autoSpaceDE w:val="0"/>
              <w:autoSpaceDN w:val="0"/>
              <w:adjustRightInd w:val="0"/>
              <w:spacing w:after="0" w:line="0" w:lineRule="atLeast"/>
              <w:rPr>
                <w:rFonts w:ascii="Arial" w:hAnsi="Arial" w:cs="Arial"/>
                <w:color w:val="000000"/>
                <w:sz w:val="20"/>
                <w:szCs w:val="20"/>
              </w:rPr>
            </w:pPr>
            <w:r w:rsidRPr="00372825">
              <w:rPr>
                <w:rFonts w:ascii="Arial" w:eastAsia="Times New Roman" w:hAnsi="Arial" w:cs="Arial"/>
                <w:color w:val="000000"/>
                <w:sz w:val="20"/>
                <w:szCs w:val="20"/>
                <w:lang w:eastAsia="en-GB"/>
              </w:rPr>
              <w:t>(Loss)/profit before tax multiplied by the rate of corporation tax of 25%</w:t>
            </w:r>
            <w:r w:rsidR="003F4669">
              <w:rPr>
                <w:rFonts w:ascii="Arial" w:eastAsia="Times New Roman" w:hAnsi="Arial" w:cs="Arial"/>
                <w:color w:val="000000"/>
                <w:sz w:val="20"/>
                <w:szCs w:val="20"/>
                <w:lang w:eastAsia="en-GB"/>
              </w:rPr>
              <w:t xml:space="preserve"> (FY23: 19%)</w:t>
            </w:r>
          </w:p>
        </w:tc>
        <w:tc>
          <w:tcPr>
            <w:tcW w:w="992" w:type="dxa"/>
            <w:tcBorders>
              <w:left w:val="nil"/>
              <w:right w:val="nil"/>
            </w:tcBorders>
            <w:vAlign w:val="bottom"/>
          </w:tcPr>
          <w:p w14:paraId="2A933200"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(4.2)</w:t>
            </w:r>
          </w:p>
        </w:tc>
        <w:tc>
          <w:tcPr>
            <w:tcW w:w="1134" w:type="dxa"/>
            <w:tcBorders>
              <w:left w:val="nil"/>
              <w:right w:val="nil"/>
            </w:tcBorders>
            <w:vAlign w:val="bottom"/>
          </w:tcPr>
          <w:p w14:paraId="6BF2015D"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(0.8)</w:t>
            </w:r>
          </w:p>
        </w:tc>
        <w:tc>
          <w:tcPr>
            <w:tcW w:w="1134" w:type="dxa"/>
            <w:tcBorders>
              <w:left w:val="nil"/>
              <w:right w:val="nil"/>
            </w:tcBorders>
            <w:vAlign w:val="bottom"/>
          </w:tcPr>
          <w:p w14:paraId="3E2B450C"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1.5</w:t>
            </w:r>
          </w:p>
        </w:tc>
        <w:tc>
          <w:tcPr>
            <w:tcW w:w="1134" w:type="dxa"/>
            <w:tcBorders>
              <w:left w:val="nil"/>
              <w:right w:val="nil"/>
            </w:tcBorders>
            <w:vAlign w:val="bottom"/>
          </w:tcPr>
          <w:p w14:paraId="1D04A55E"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(0.5)</w:t>
            </w:r>
          </w:p>
        </w:tc>
        <w:tc>
          <w:tcPr>
            <w:tcW w:w="1134" w:type="dxa"/>
            <w:tcBorders>
              <w:left w:val="nil"/>
              <w:right w:val="nil"/>
            </w:tcBorders>
            <w:vAlign w:val="bottom"/>
          </w:tcPr>
          <w:p w14:paraId="5648CFFA"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(2.7)</w:t>
            </w:r>
          </w:p>
        </w:tc>
        <w:tc>
          <w:tcPr>
            <w:tcW w:w="1134" w:type="dxa"/>
            <w:tcBorders>
              <w:left w:val="nil"/>
              <w:right w:val="nil"/>
            </w:tcBorders>
            <w:vAlign w:val="bottom"/>
          </w:tcPr>
          <w:p w14:paraId="425F98F0"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(1.3)</w:t>
            </w:r>
          </w:p>
        </w:tc>
      </w:tr>
      <w:tr w:rsidR="008C676E" w:rsidRPr="00971647" w14:paraId="1CC7CD4A" w14:textId="77777777" w:rsidTr="00AB1DC6">
        <w:trPr>
          <w:trHeight w:val="283"/>
        </w:trPr>
        <w:tc>
          <w:tcPr>
            <w:tcW w:w="3574" w:type="dxa"/>
            <w:tcBorders>
              <w:left w:val="nil"/>
              <w:right w:val="nil"/>
            </w:tcBorders>
            <w:vAlign w:val="bottom"/>
          </w:tcPr>
          <w:p w14:paraId="553B2A83" w14:textId="77777777" w:rsidR="008C676E" w:rsidRPr="00372825" w:rsidRDefault="008C676E" w:rsidP="00AB1DC6">
            <w:pPr>
              <w:autoSpaceDE w:val="0"/>
              <w:autoSpaceDN w:val="0"/>
              <w:adjustRightInd w:val="0"/>
              <w:spacing w:after="0" w:line="0" w:lineRule="atLeast"/>
              <w:rPr>
                <w:rFonts w:ascii="Arial" w:hAnsi="Arial" w:cs="Arial"/>
                <w:color w:val="000000"/>
                <w:sz w:val="20"/>
                <w:szCs w:val="20"/>
              </w:rPr>
            </w:pPr>
            <w:r w:rsidRPr="00372825">
              <w:rPr>
                <w:rFonts w:ascii="Arial" w:eastAsia="Times New Roman" w:hAnsi="Arial" w:cs="Arial"/>
                <w:color w:val="000000"/>
                <w:sz w:val="20"/>
                <w:szCs w:val="20"/>
                <w:lang w:eastAsia="en-GB"/>
              </w:rPr>
              <w:t>Effects of:</w:t>
            </w:r>
          </w:p>
        </w:tc>
        <w:tc>
          <w:tcPr>
            <w:tcW w:w="992" w:type="dxa"/>
            <w:tcBorders>
              <w:left w:val="nil"/>
              <w:right w:val="nil"/>
            </w:tcBorders>
            <w:vAlign w:val="bottom"/>
          </w:tcPr>
          <w:p w14:paraId="59DACF7C"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134" w:type="dxa"/>
            <w:tcBorders>
              <w:left w:val="nil"/>
              <w:right w:val="nil"/>
            </w:tcBorders>
            <w:vAlign w:val="bottom"/>
          </w:tcPr>
          <w:p w14:paraId="3A56B777"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134" w:type="dxa"/>
            <w:tcBorders>
              <w:left w:val="nil"/>
              <w:right w:val="nil"/>
            </w:tcBorders>
            <w:vAlign w:val="bottom"/>
          </w:tcPr>
          <w:p w14:paraId="2BC92DE4"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134" w:type="dxa"/>
            <w:tcBorders>
              <w:left w:val="nil"/>
              <w:right w:val="nil"/>
            </w:tcBorders>
            <w:vAlign w:val="bottom"/>
          </w:tcPr>
          <w:p w14:paraId="5FF25F9D"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134" w:type="dxa"/>
            <w:tcBorders>
              <w:left w:val="nil"/>
              <w:right w:val="nil"/>
            </w:tcBorders>
            <w:vAlign w:val="bottom"/>
          </w:tcPr>
          <w:p w14:paraId="704AF76E"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134" w:type="dxa"/>
            <w:tcBorders>
              <w:left w:val="nil"/>
              <w:right w:val="nil"/>
            </w:tcBorders>
            <w:vAlign w:val="bottom"/>
          </w:tcPr>
          <w:p w14:paraId="0703184C"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971647" w14:paraId="7E5F061C" w14:textId="77777777" w:rsidTr="00AB1DC6">
        <w:trPr>
          <w:trHeight w:val="283"/>
        </w:trPr>
        <w:tc>
          <w:tcPr>
            <w:tcW w:w="3574" w:type="dxa"/>
            <w:tcBorders>
              <w:left w:val="nil"/>
              <w:right w:val="nil"/>
            </w:tcBorders>
            <w:shd w:val="clear" w:color="auto" w:fill="auto"/>
            <w:vAlign w:val="bottom"/>
          </w:tcPr>
          <w:p w14:paraId="381B53C5" w14:textId="77777777" w:rsidR="008C676E" w:rsidRPr="00372825" w:rsidRDefault="008C676E" w:rsidP="00AB1DC6">
            <w:pPr>
              <w:autoSpaceDE w:val="0"/>
              <w:autoSpaceDN w:val="0"/>
              <w:adjustRightInd w:val="0"/>
              <w:spacing w:after="0" w:line="0" w:lineRule="atLeast"/>
              <w:rPr>
                <w:rFonts w:ascii="Arial" w:hAnsi="Arial" w:cs="Arial"/>
                <w:color w:val="000000"/>
                <w:sz w:val="20"/>
                <w:szCs w:val="20"/>
              </w:rPr>
            </w:pPr>
            <w:r w:rsidRPr="00372825">
              <w:rPr>
                <w:rFonts w:ascii="Arial" w:eastAsia="Times New Roman" w:hAnsi="Arial" w:cs="Arial"/>
                <w:color w:val="000000"/>
                <w:sz w:val="20"/>
                <w:szCs w:val="20"/>
                <w:lang w:eastAsia="en-GB"/>
              </w:rPr>
              <w:t>Expenses not deductible for tax purposes</w:t>
            </w:r>
          </w:p>
        </w:tc>
        <w:tc>
          <w:tcPr>
            <w:tcW w:w="992" w:type="dxa"/>
            <w:tcBorders>
              <w:left w:val="nil"/>
              <w:right w:val="nil"/>
            </w:tcBorders>
            <w:vAlign w:val="bottom"/>
          </w:tcPr>
          <w:p w14:paraId="0B6975C6"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0.4</w:t>
            </w:r>
          </w:p>
        </w:tc>
        <w:tc>
          <w:tcPr>
            <w:tcW w:w="1134" w:type="dxa"/>
            <w:tcBorders>
              <w:left w:val="nil"/>
              <w:right w:val="nil"/>
            </w:tcBorders>
            <w:shd w:val="clear" w:color="auto" w:fill="auto"/>
            <w:vAlign w:val="bottom"/>
          </w:tcPr>
          <w:p w14:paraId="67D7F229"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(0.1)</w:t>
            </w:r>
          </w:p>
        </w:tc>
        <w:tc>
          <w:tcPr>
            <w:tcW w:w="1134" w:type="dxa"/>
            <w:tcBorders>
              <w:left w:val="nil"/>
              <w:right w:val="nil"/>
            </w:tcBorders>
            <w:vAlign w:val="bottom"/>
          </w:tcPr>
          <w:p w14:paraId="627208CD"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2.1</w:t>
            </w:r>
          </w:p>
        </w:tc>
        <w:tc>
          <w:tcPr>
            <w:tcW w:w="1134" w:type="dxa"/>
            <w:tcBorders>
              <w:left w:val="nil"/>
              <w:right w:val="nil"/>
            </w:tcBorders>
            <w:vAlign w:val="bottom"/>
          </w:tcPr>
          <w:p w14:paraId="4BC88E9E"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1.0</w:t>
            </w:r>
          </w:p>
        </w:tc>
        <w:tc>
          <w:tcPr>
            <w:tcW w:w="1134" w:type="dxa"/>
            <w:tcBorders>
              <w:left w:val="nil"/>
              <w:right w:val="nil"/>
            </w:tcBorders>
            <w:vAlign w:val="bottom"/>
          </w:tcPr>
          <w:p w14:paraId="68141DAF" w14:textId="5A1E3D55"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2.5</w:t>
            </w:r>
          </w:p>
        </w:tc>
        <w:tc>
          <w:tcPr>
            <w:tcW w:w="1134" w:type="dxa"/>
            <w:tcBorders>
              <w:left w:val="nil"/>
              <w:right w:val="nil"/>
            </w:tcBorders>
            <w:vAlign w:val="bottom"/>
          </w:tcPr>
          <w:p w14:paraId="66C3BE0E"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0.9</w:t>
            </w:r>
          </w:p>
        </w:tc>
      </w:tr>
      <w:tr w:rsidR="008C676E" w:rsidRPr="00971647" w14:paraId="7D39C633" w14:textId="77777777" w:rsidTr="00AB1DC6">
        <w:trPr>
          <w:trHeight w:val="283"/>
        </w:trPr>
        <w:tc>
          <w:tcPr>
            <w:tcW w:w="3574" w:type="dxa"/>
            <w:tcBorders>
              <w:left w:val="nil"/>
              <w:right w:val="nil"/>
            </w:tcBorders>
            <w:shd w:val="clear" w:color="auto" w:fill="auto"/>
            <w:vAlign w:val="bottom"/>
          </w:tcPr>
          <w:p w14:paraId="1E7A5703" w14:textId="77777777" w:rsidR="008C676E" w:rsidRPr="00372825" w:rsidRDefault="008C676E" w:rsidP="00AB1DC6">
            <w:pPr>
              <w:autoSpaceDE w:val="0"/>
              <w:autoSpaceDN w:val="0"/>
              <w:adjustRightInd w:val="0"/>
              <w:spacing w:after="0" w:line="0" w:lineRule="atLeast"/>
              <w:rPr>
                <w:rFonts w:ascii="Arial" w:eastAsia="Times New Roman" w:hAnsi="Arial" w:cs="Arial"/>
                <w:color w:val="000000"/>
                <w:sz w:val="20"/>
                <w:szCs w:val="20"/>
                <w:lang w:eastAsia="en-GB"/>
              </w:rPr>
            </w:pPr>
            <w:r w:rsidRPr="00372825">
              <w:rPr>
                <w:rFonts w:ascii="Arial" w:eastAsia="Times New Roman" w:hAnsi="Arial" w:cs="Arial"/>
                <w:color w:val="000000"/>
                <w:sz w:val="20"/>
                <w:szCs w:val="20"/>
                <w:lang w:eastAsia="en-GB"/>
              </w:rPr>
              <w:t>Effect of foreign tax</w:t>
            </w:r>
          </w:p>
        </w:tc>
        <w:tc>
          <w:tcPr>
            <w:tcW w:w="992" w:type="dxa"/>
            <w:tcBorders>
              <w:left w:val="nil"/>
              <w:right w:val="nil"/>
            </w:tcBorders>
            <w:vAlign w:val="bottom"/>
          </w:tcPr>
          <w:p w14:paraId="5668C4DD"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(0.1)</w:t>
            </w:r>
          </w:p>
        </w:tc>
        <w:tc>
          <w:tcPr>
            <w:tcW w:w="1134" w:type="dxa"/>
            <w:tcBorders>
              <w:left w:val="nil"/>
              <w:right w:val="nil"/>
            </w:tcBorders>
            <w:shd w:val="clear" w:color="auto" w:fill="auto"/>
            <w:vAlign w:val="bottom"/>
          </w:tcPr>
          <w:p w14:paraId="0C5523A9"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0.1</w:t>
            </w:r>
          </w:p>
        </w:tc>
        <w:tc>
          <w:tcPr>
            <w:tcW w:w="1134" w:type="dxa"/>
            <w:tcBorders>
              <w:left w:val="nil"/>
              <w:right w:val="nil"/>
            </w:tcBorders>
            <w:vAlign w:val="bottom"/>
          </w:tcPr>
          <w:p w14:paraId="3945C7E9"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(0.3)</w:t>
            </w:r>
          </w:p>
        </w:tc>
        <w:tc>
          <w:tcPr>
            <w:tcW w:w="1134" w:type="dxa"/>
            <w:tcBorders>
              <w:left w:val="nil"/>
              <w:right w:val="nil"/>
            </w:tcBorders>
            <w:vAlign w:val="bottom"/>
          </w:tcPr>
          <w:p w14:paraId="4513145B"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(0.1)</w:t>
            </w:r>
          </w:p>
        </w:tc>
        <w:tc>
          <w:tcPr>
            <w:tcW w:w="1134" w:type="dxa"/>
            <w:tcBorders>
              <w:left w:val="nil"/>
              <w:right w:val="nil"/>
            </w:tcBorders>
            <w:vAlign w:val="bottom"/>
          </w:tcPr>
          <w:p w14:paraId="0800B151"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(0.4)</w:t>
            </w:r>
          </w:p>
        </w:tc>
        <w:tc>
          <w:tcPr>
            <w:tcW w:w="1134" w:type="dxa"/>
            <w:tcBorders>
              <w:left w:val="nil"/>
              <w:right w:val="nil"/>
            </w:tcBorders>
            <w:vAlign w:val="bottom"/>
          </w:tcPr>
          <w:p w14:paraId="1D9F2421"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w:t>
            </w:r>
          </w:p>
        </w:tc>
      </w:tr>
      <w:tr w:rsidR="008C676E" w:rsidRPr="00971647" w14:paraId="33556654" w14:textId="77777777" w:rsidTr="00AB1DC6">
        <w:trPr>
          <w:trHeight w:val="283"/>
        </w:trPr>
        <w:tc>
          <w:tcPr>
            <w:tcW w:w="3574" w:type="dxa"/>
            <w:tcBorders>
              <w:left w:val="nil"/>
              <w:right w:val="nil"/>
            </w:tcBorders>
            <w:shd w:val="clear" w:color="auto" w:fill="auto"/>
            <w:vAlign w:val="bottom"/>
          </w:tcPr>
          <w:p w14:paraId="2C7585EB" w14:textId="77777777" w:rsidR="008C676E" w:rsidRPr="00372825" w:rsidRDefault="008C676E" w:rsidP="00AB1DC6">
            <w:pPr>
              <w:autoSpaceDE w:val="0"/>
              <w:autoSpaceDN w:val="0"/>
              <w:adjustRightInd w:val="0"/>
              <w:spacing w:after="0" w:line="0" w:lineRule="atLeast"/>
              <w:rPr>
                <w:rFonts w:ascii="Arial" w:eastAsia="Times New Roman" w:hAnsi="Arial" w:cs="Arial"/>
                <w:color w:val="000000"/>
                <w:sz w:val="20"/>
                <w:szCs w:val="20"/>
                <w:lang w:eastAsia="en-GB"/>
              </w:rPr>
            </w:pPr>
            <w:r w:rsidRPr="00372825">
              <w:rPr>
                <w:rFonts w:ascii="Arial" w:eastAsia="Times New Roman" w:hAnsi="Arial" w:cs="Arial"/>
                <w:color w:val="000000"/>
                <w:sz w:val="20"/>
                <w:szCs w:val="20"/>
                <w:lang w:eastAsia="en-GB"/>
              </w:rPr>
              <w:t>Recognition of previously unrecognised deferred tax assets on losses</w:t>
            </w:r>
          </w:p>
        </w:tc>
        <w:tc>
          <w:tcPr>
            <w:tcW w:w="992" w:type="dxa"/>
            <w:tcBorders>
              <w:left w:val="nil"/>
              <w:right w:val="nil"/>
            </w:tcBorders>
            <w:vAlign w:val="bottom"/>
          </w:tcPr>
          <w:p w14:paraId="339F57B9"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w:t>
            </w:r>
          </w:p>
        </w:tc>
        <w:tc>
          <w:tcPr>
            <w:tcW w:w="1134" w:type="dxa"/>
            <w:tcBorders>
              <w:left w:val="nil"/>
              <w:right w:val="nil"/>
            </w:tcBorders>
            <w:shd w:val="clear" w:color="auto" w:fill="auto"/>
            <w:vAlign w:val="bottom"/>
          </w:tcPr>
          <w:p w14:paraId="02F51566"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(1.5)</w:t>
            </w:r>
          </w:p>
        </w:tc>
        <w:tc>
          <w:tcPr>
            <w:tcW w:w="1134" w:type="dxa"/>
            <w:tcBorders>
              <w:left w:val="nil"/>
              <w:right w:val="nil"/>
            </w:tcBorders>
            <w:vAlign w:val="bottom"/>
          </w:tcPr>
          <w:p w14:paraId="0F429E95"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w:t>
            </w:r>
          </w:p>
        </w:tc>
        <w:tc>
          <w:tcPr>
            <w:tcW w:w="1134" w:type="dxa"/>
            <w:tcBorders>
              <w:left w:val="nil"/>
              <w:right w:val="nil"/>
            </w:tcBorders>
            <w:vAlign w:val="bottom"/>
          </w:tcPr>
          <w:p w14:paraId="09CA7A46"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w:t>
            </w:r>
          </w:p>
        </w:tc>
        <w:tc>
          <w:tcPr>
            <w:tcW w:w="1134" w:type="dxa"/>
            <w:tcBorders>
              <w:left w:val="nil"/>
              <w:right w:val="nil"/>
            </w:tcBorders>
            <w:vAlign w:val="bottom"/>
          </w:tcPr>
          <w:p w14:paraId="37C18621" w14:textId="77777777" w:rsidR="008C676E" w:rsidRPr="00372825" w:rsidRDefault="008C676E" w:rsidP="00AB1DC6">
            <w:pPr>
              <w:autoSpaceDE w:val="0"/>
              <w:autoSpaceDN w:val="0"/>
              <w:adjustRightInd w:val="0"/>
              <w:spacing w:after="0" w:line="0" w:lineRule="atLeast"/>
              <w:jc w:val="right"/>
              <w:rPr>
                <w:rFonts w:ascii="Arial" w:hAnsi="Arial" w:cs="Arial"/>
                <w:b/>
                <w:bCs/>
                <w:color w:val="000000"/>
                <w:sz w:val="20"/>
                <w:szCs w:val="20"/>
              </w:rPr>
            </w:pPr>
            <w:r w:rsidRPr="00372825">
              <w:rPr>
                <w:rFonts w:ascii="Arial" w:hAnsi="Arial" w:cs="Arial"/>
                <w:b/>
                <w:bCs/>
                <w:color w:val="000000"/>
                <w:sz w:val="20"/>
                <w:szCs w:val="20"/>
              </w:rPr>
              <w:t>-</w:t>
            </w:r>
          </w:p>
        </w:tc>
        <w:tc>
          <w:tcPr>
            <w:tcW w:w="1134" w:type="dxa"/>
            <w:tcBorders>
              <w:left w:val="nil"/>
              <w:right w:val="nil"/>
            </w:tcBorders>
            <w:vAlign w:val="bottom"/>
          </w:tcPr>
          <w:p w14:paraId="16436A65" w14:textId="77777777" w:rsidR="008C676E" w:rsidRPr="00372825" w:rsidRDefault="008C676E" w:rsidP="00AB1DC6">
            <w:pPr>
              <w:autoSpaceDE w:val="0"/>
              <w:autoSpaceDN w:val="0"/>
              <w:adjustRightInd w:val="0"/>
              <w:spacing w:after="0" w:line="0" w:lineRule="atLeast"/>
              <w:jc w:val="right"/>
              <w:rPr>
                <w:rFonts w:ascii="Arial" w:hAnsi="Arial" w:cs="Arial"/>
                <w:color w:val="000000"/>
                <w:sz w:val="20"/>
                <w:szCs w:val="20"/>
              </w:rPr>
            </w:pPr>
            <w:r w:rsidRPr="00372825">
              <w:rPr>
                <w:rFonts w:ascii="Arial" w:hAnsi="Arial" w:cs="Arial"/>
                <w:color w:val="000000"/>
                <w:sz w:val="20"/>
                <w:szCs w:val="20"/>
              </w:rPr>
              <w:t>(1.5)</w:t>
            </w:r>
          </w:p>
        </w:tc>
      </w:tr>
      <w:tr w:rsidR="008C676E" w:rsidRPr="005E386C" w14:paraId="2270AD26" w14:textId="77777777" w:rsidTr="00AB1DC6">
        <w:trPr>
          <w:trHeight w:val="283"/>
        </w:trPr>
        <w:tc>
          <w:tcPr>
            <w:tcW w:w="3574" w:type="dxa"/>
            <w:tcBorders>
              <w:left w:val="nil"/>
              <w:right w:val="nil"/>
            </w:tcBorders>
            <w:shd w:val="clear" w:color="auto" w:fill="auto"/>
            <w:vAlign w:val="bottom"/>
          </w:tcPr>
          <w:p w14:paraId="6E4382D9" w14:textId="77777777"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Prior year adjustments</w:t>
            </w:r>
          </w:p>
        </w:tc>
        <w:tc>
          <w:tcPr>
            <w:tcW w:w="992" w:type="dxa"/>
            <w:tcBorders>
              <w:left w:val="nil"/>
              <w:right w:val="nil"/>
            </w:tcBorders>
            <w:vAlign w:val="bottom"/>
          </w:tcPr>
          <w:p w14:paraId="2EFFB2F9"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0.7</w:t>
            </w:r>
          </w:p>
        </w:tc>
        <w:tc>
          <w:tcPr>
            <w:tcW w:w="1134" w:type="dxa"/>
            <w:tcBorders>
              <w:left w:val="nil"/>
              <w:right w:val="nil"/>
            </w:tcBorders>
            <w:shd w:val="clear" w:color="auto" w:fill="auto"/>
            <w:vAlign w:val="bottom"/>
          </w:tcPr>
          <w:p w14:paraId="2281C2EA"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(0.4)</w:t>
            </w:r>
          </w:p>
        </w:tc>
        <w:tc>
          <w:tcPr>
            <w:tcW w:w="1134" w:type="dxa"/>
            <w:tcBorders>
              <w:left w:val="nil"/>
              <w:right w:val="nil"/>
            </w:tcBorders>
            <w:vAlign w:val="bottom"/>
          </w:tcPr>
          <w:p w14:paraId="671F5748"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(0.8)</w:t>
            </w:r>
          </w:p>
        </w:tc>
        <w:tc>
          <w:tcPr>
            <w:tcW w:w="1134" w:type="dxa"/>
            <w:tcBorders>
              <w:left w:val="nil"/>
              <w:right w:val="nil"/>
            </w:tcBorders>
            <w:vAlign w:val="bottom"/>
          </w:tcPr>
          <w:p w14:paraId="386461EA"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(0.2)</w:t>
            </w:r>
          </w:p>
        </w:tc>
        <w:tc>
          <w:tcPr>
            <w:tcW w:w="1134" w:type="dxa"/>
            <w:tcBorders>
              <w:left w:val="nil"/>
              <w:right w:val="nil"/>
            </w:tcBorders>
            <w:vAlign w:val="bottom"/>
          </w:tcPr>
          <w:p w14:paraId="7E0D120A"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(0.1)</w:t>
            </w:r>
          </w:p>
        </w:tc>
        <w:tc>
          <w:tcPr>
            <w:tcW w:w="1134" w:type="dxa"/>
            <w:tcBorders>
              <w:left w:val="nil"/>
              <w:right w:val="nil"/>
            </w:tcBorders>
            <w:vAlign w:val="bottom"/>
          </w:tcPr>
          <w:p w14:paraId="567A0723"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(0.6)</w:t>
            </w:r>
          </w:p>
        </w:tc>
      </w:tr>
      <w:tr w:rsidR="008C676E" w:rsidRPr="005E386C" w14:paraId="5DB256D9" w14:textId="77777777" w:rsidTr="00AB1DC6">
        <w:trPr>
          <w:trHeight w:val="283"/>
        </w:trPr>
        <w:tc>
          <w:tcPr>
            <w:tcW w:w="3574" w:type="dxa"/>
            <w:tcBorders>
              <w:left w:val="nil"/>
              <w:bottom w:val="single" w:sz="6" w:space="0" w:color="auto"/>
              <w:right w:val="nil"/>
            </w:tcBorders>
            <w:vAlign w:val="bottom"/>
          </w:tcPr>
          <w:p w14:paraId="57AF3FB4" w14:textId="77777777" w:rsidR="008C676E" w:rsidRPr="005E386C" w:rsidRDefault="008C676E" w:rsidP="00AB1DC6">
            <w:pPr>
              <w:autoSpaceDE w:val="0"/>
              <w:autoSpaceDN w:val="0"/>
              <w:adjustRightInd w:val="0"/>
              <w:spacing w:after="0" w:line="0" w:lineRule="atLeast"/>
              <w:rPr>
                <w:rFonts w:ascii="Arial" w:hAnsi="Arial" w:cs="Arial"/>
                <w:color w:val="000000"/>
                <w:sz w:val="20"/>
                <w:szCs w:val="20"/>
              </w:rPr>
            </w:pPr>
            <w:r w:rsidRPr="005E386C">
              <w:rPr>
                <w:rFonts w:ascii="Arial" w:eastAsia="Times New Roman" w:hAnsi="Arial" w:cs="Arial"/>
                <w:color w:val="000000"/>
                <w:sz w:val="20"/>
                <w:szCs w:val="20"/>
                <w:lang w:eastAsia="en-GB"/>
              </w:rPr>
              <w:t xml:space="preserve">Change in tax rates </w:t>
            </w:r>
          </w:p>
        </w:tc>
        <w:tc>
          <w:tcPr>
            <w:tcW w:w="992" w:type="dxa"/>
            <w:tcBorders>
              <w:left w:val="nil"/>
              <w:bottom w:val="single" w:sz="6" w:space="0" w:color="auto"/>
              <w:right w:val="nil"/>
            </w:tcBorders>
            <w:vAlign w:val="bottom"/>
          </w:tcPr>
          <w:p w14:paraId="792BBF5E"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w:t>
            </w:r>
          </w:p>
        </w:tc>
        <w:tc>
          <w:tcPr>
            <w:tcW w:w="1134" w:type="dxa"/>
            <w:tcBorders>
              <w:left w:val="nil"/>
              <w:bottom w:val="single" w:sz="6" w:space="0" w:color="auto"/>
              <w:right w:val="nil"/>
            </w:tcBorders>
            <w:vAlign w:val="bottom"/>
          </w:tcPr>
          <w:p w14:paraId="1E597754"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(0.1)</w:t>
            </w:r>
          </w:p>
        </w:tc>
        <w:tc>
          <w:tcPr>
            <w:tcW w:w="1134" w:type="dxa"/>
            <w:tcBorders>
              <w:left w:val="nil"/>
              <w:bottom w:val="single" w:sz="6" w:space="0" w:color="auto"/>
              <w:right w:val="nil"/>
            </w:tcBorders>
            <w:vAlign w:val="bottom"/>
          </w:tcPr>
          <w:p w14:paraId="6943A6DB"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w:t>
            </w:r>
          </w:p>
        </w:tc>
        <w:tc>
          <w:tcPr>
            <w:tcW w:w="1134" w:type="dxa"/>
            <w:tcBorders>
              <w:left w:val="nil"/>
              <w:bottom w:val="single" w:sz="6" w:space="0" w:color="auto"/>
              <w:right w:val="nil"/>
            </w:tcBorders>
            <w:vAlign w:val="bottom"/>
          </w:tcPr>
          <w:p w14:paraId="63651B7D"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(0.5)</w:t>
            </w:r>
          </w:p>
        </w:tc>
        <w:tc>
          <w:tcPr>
            <w:tcW w:w="1134" w:type="dxa"/>
            <w:tcBorders>
              <w:left w:val="nil"/>
              <w:bottom w:val="single" w:sz="6" w:space="0" w:color="auto"/>
              <w:right w:val="nil"/>
            </w:tcBorders>
            <w:vAlign w:val="bottom"/>
          </w:tcPr>
          <w:p w14:paraId="38DC74E2" w14:textId="77777777" w:rsidR="008C676E" w:rsidRPr="005E386C" w:rsidRDefault="008C676E" w:rsidP="00AB1DC6">
            <w:pPr>
              <w:autoSpaceDE w:val="0"/>
              <w:autoSpaceDN w:val="0"/>
              <w:adjustRightInd w:val="0"/>
              <w:spacing w:after="0" w:line="0" w:lineRule="atLeast"/>
              <w:jc w:val="right"/>
              <w:rPr>
                <w:rFonts w:ascii="Arial" w:hAnsi="Arial" w:cs="Arial"/>
                <w:b/>
                <w:bCs/>
                <w:color w:val="000000"/>
                <w:sz w:val="20"/>
                <w:szCs w:val="20"/>
              </w:rPr>
            </w:pPr>
            <w:r w:rsidRPr="005E386C">
              <w:rPr>
                <w:rFonts w:ascii="Arial" w:hAnsi="Arial" w:cs="Arial"/>
                <w:b/>
                <w:bCs/>
                <w:color w:val="000000"/>
                <w:sz w:val="20"/>
                <w:szCs w:val="20"/>
              </w:rPr>
              <w:t>-</w:t>
            </w:r>
          </w:p>
        </w:tc>
        <w:tc>
          <w:tcPr>
            <w:tcW w:w="1134" w:type="dxa"/>
            <w:tcBorders>
              <w:left w:val="nil"/>
              <w:bottom w:val="single" w:sz="6" w:space="0" w:color="auto"/>
              <w:right w:val="nil"/>
            </w:tcBorders>
            <w:vAlign w:val="bottom"/>
          </w:tcPr>
          <w:p w14:paraId="7C7CE035" w14:textId="77777777" w:rsidR="008C676E" w:rsidRPr="005E386C" w:rsidRDefault="008C676E" w:rsidP="00AB1DC6">
            <w:pPr>
              <w:autoSpaceDE w:val="0"/>
              <w:autoSpaceDN w:val="0"/>
              <w:adjustRightInd w:val="0"/>
              <w:spacing w:after="0" w:line="0" w:lineRule="atLeast"/>
              <w:jc w:val="right"/>
              <w:rPr>
                <w:rFonts w:ascii="Arial" w:hAnsi="Arial" w:cs="Arial"/>
                <w:color w:val="000000"/>
                <w:sz w:val="20"/>
                <w:szCs w:val="20"/>
              </w:rPr>
            </w:pPr>
            <w:r w:rsidRPr="005E386C">
              <w:rPr>
                <w:rFonts w:ascii="Arial" w:hAnsi="Arial" w:cs="Arial"/>
                <w:color w:val="000000"/>
                <w:sz w:val="20"/>
                <w:szCs w:val="20"/>
              </w:rPr>
              <w:t>(0.6)</w:t>
            </w:r>
          </w:p>
        </w:tc>
      </w:tr>
      <w:tr w:rsidR="008C676E" w:rsidRPr="00303F6C" w14:paraId="71C8055F" w14:textId="77777777" w:rsidTr="00AB1DC6">
        <w:trPr>
          <w:trHeight w:val="283"/>
        </w:trPr>
        <w:tc>
          <w:tcPr>
            <w:tcW w:w="3574" w:type="dxa"/>
            <w:tcBorders>
              <w:top w:val="single" w:sz="6" w:space="0" w:color="auto"/>
              <w:left w:val="nil"/>
              <w:bottom w:val="double" w:sz="4" w:space="0" w:color="auto"/>
              <w:right w:val="nil"/>
            </w:tcBorders>
            <w:vAlign w:val="bottom"/>
          </w:tcPr>
          <w:p w14:paraId="1DBABDF1" w14:textId="77777777" w:rsidR="008C676E" w:rsidRPr="00F72BA1" w:rsidRDefault="008C676E" w:rsidP="00AB1DC6">
            <w:pPr>
              <w:autoSpaceDE w:val="0"/>
              <w:autoSpaceDN w:val="0"/>
              <w:adjustRightInd w:val="0"/>
              <w:spacing w:after="0" w:line="0" w:lineRule="atLeast"/>
              <w:rPr>
                <w:rFonts w:ascii="Arial" w:hAnsi="Arial" w:cs="Arial"/>
                <w:b/>
                <w:bCs/>
                <w:color w:val="000000"/>
                <w:sz w:val="20"/>
                <w:szCs w:val="20"/>
              </w:rPr>
            </w:pPr>
            <w:r w:rsidRPr="00F72BA1">
              <w:rPr>
                <w:rFonts w:ascii="Arial" w:eastAsia="Times New Roman" w:hAnsi="Arial" w:cs="Arial"/>
                <w:b/>
                <w:bCs/>
                <w:color w:val="000000"/>
                <w:sz w:val="20"/>
                <w:szCs w:val="20"/>
                <w:lang w:eastAsia="en-GB"/>
              </w:rPr>
              <w:t>Tax (credit)/charge</w:t>
            </w:r>
          </w:p>
        </w:tc>
        <w:tc>
          <w:tcPr>
            <w:tcW w:w="992" w:type="dxa"/>
            <w:tcBorders>
              <w:top w:val="single" w:sz="6" w:space="0" w:color="auto"/>
              <w:left w:val="nil"/>
              <w:bottom w:val="double" w:sz="4" w:space="0" w:color="auto"/>
              <w:right w:val="nil"/>
            </w:tcBorders>
            <w:vAlign w:val="bottom"/>
          </w:tcPr>
          <w:p w14:paraId="20158ABD" w14:textId="77777777" w:rsidR="008C676E" w:rsidRPr="00F72BA1" w:rsidRDefault="008C676E" w:rsidP="00AB1DC6">
            <w:pPr>
              <w:autoSpaceDE w:val="0"/>
              <w:autoSpaceDN w:val="0"/>
              <w:adjustRightInd w:val="0"/>
              <w:spacing w:after="0" w:line="0" w:lineRule="atLeast"/>
              <w:jc w:val="right"/>
              <w:rPr>
                <w:rFonts w:ascii="Arial" w:hAnsi="Arial" w:cs="Arial"/>
                <w:b/>
                <w:bCs/>
                <w:color w:val="000000"/>
                <w:sz w:val="20"/>
                <w:szCs w:val="20"/>
              </w:rPr>
            </w:pPr>
            <w:r w:rsidRPr="00F72BA1">
              <w:rPr>
                <w:rFonts w:ascii="Arial" w:hAnsi="Arial" w:cs="Arial"/>
                <w:b/>
                <w:bCs/>
                <w:color w:val="000000"/>
                <w:sz w:val="20"/>
                <w:szCs w:val="20"/>
              </w:rPr>
              <w:t>(3.2)</w:t>
            </w:r>
          </w:p>
        </w:tc>
        <w:tc>
          <w:tcPr>
            <w:tcW w:w="1134" w:type="dxa"/>
            <w:tcBorders>
              <w:top w:val="single" w:sz="6" w:space="0" w:color="auto"/>
              <w:left w:val="nil"/>
              <w:bottom w:val="double" w:sz="4" w:space="0" w:color="auto"/>
              <w:right w:val="nil"/>
            </w:tcBorders>
            <w:vAlign w:val="bottom"/>
          </w:tcPr>
          <w:p w14:paraId="7578335F" w14:textId="77777777" w:rsidR="008C676E" w:rsidRPr="00F72BA1" w:rsidRDefault="008C676E" w:rsidP="00AB1DC6">
            <w:pPr>
              <w:autoSpaceDE w:val="0"/>
              <w:autoSpaceDN w:val="0"/>
              <w:adjustRightInd w:val="0"/>
              <w:spacing w:after="0" w:line="0" w:lineRule="atLeast"/>
              <w:jc w:val="right"/>
              <w:rPr>
                <w:rFonts w:ascii="Arial" w:hAnsi="Arial" w:cs="Arial"/>
                <w:color w:val="000000"/>
                <w:sz w:val="20"/>
                <w:szCs w:val="20"/>
              </w:rPr>
            </w:pPr>
            <w:r w:rsidRPr="00F72BA1">
              <w:rPr>
                <w:rFonts w:ascii="Arial" w:hAnsi="Arial" w:cs="Arial"/>
                <w:color w:val="000000"/>
                <w:sz w:val="20"/>
                <w:szCs w:val="20"/>
              </w:rPr>
              <w:t>(2.8)</w:t>
            </w:r>
          </w:p>
        </w:tc>
        <w:tc>
          <w:tcPr>
            <w:tcW w:w="1134" w:type="dxa"/>
            <w:tcBorders>
              <w:top w:val="single" w:sz="6" w:space="0" w:color="auto"/>
              <w:left w:val="nil"/>
              <w:bottom w:val="double" w:sz="4" w:space="0" w:color="auto"/>
              <w:right w:val="nil"/>
            </w:tcBorders>
            <w:vAlign w:val="bottom"/>
          </w:tcPr>
          <w:p w14:paraId="1F57C4FD" w14:textId="77777777" w:rsidR="008C676E" w:rsidRPr="00F72BA1" w:rsidRDefault="008C676E" w:rsidP="00AB1DC6">
            <w:pPr>
              <w:autoSpaceDE w:val="0"/>
              <w:autoSpaceDN w:val="0"/>
              <w:adjustRightInd w:val="0"/>
              <w:spacing w:after="0" w:line="0" w:lineRule="atLeast"/>
              <w:jc w:val="right"/>
              <w:rPr>
                <w:rFonts w:ascii="Arial" w:hAnsi="Arial" w:cs="Arial"/>
                <w:b/>
                <w:bCs/>
                <w:color w:val="000000"/>
                <w:sz w:val="20"/>
                <w:szCs w:val="20"/>
              </w:rPr>
            </w:pPr>
            <w:r w:rsidRPr="00F72BA1">
              <w:rPr>
                <w:rFonts w:ascii="Arial" w:hAnsi="Arial" w:cs="Arial"/>
                <w:b/>
                <w:bCs/>
                <w:color w:val="000000"/>
                <w:sz w:val="20"/>
                <w:szCs w:val="20"/>
              </w:rPr>
              <w:t>2.5</w:t>
            </w:r>
          </w:p>
        </w:tc>
        <w:tc>
          <w:tcPr>
            <w:tcW w:w="1134" w:type="dxa"/>
            <w:tcBorders>
              <w:top w:val="single" w:sz="6" w:space="0" w:color="auto"/>
              <w:left w:val="nil"/>
              <w:bottom w:val="double" w:sz="4" w:space="0" w:color="auto"/>
              <w:right w:val="nil"/>
            </w:tcBorders>
            <w:vAlign w:val="bottom"/>
          </w:tcPr>
          <w:p w14:paraId="052CF2F5" w14:textId="77777777" w:rsidR="008C676E" w:rsidRPr="00F72BA1" w:rsidRDefault="008C676E" w:rsidP="00AB1DC6">
            <w:pPr>
              <w:autoSpaceDE w:val="0"/>
              <w:autoSpaceDN w:val="0"/>
              <w:adjustRightInd w:val="0"/>
              <w:spacing w:after="0" w:line="0" w:lineRule="atLeast"/>
              <w:jc w:val="right"/>
              <w:rPr>
                <w:rFonts w:ascii="Arial" w:hAnsi="Arial" w:cs="Arial"/>
                <w:color w:val="000000"/>
                <w:sz w:val="20"/>
                <w:szCs w:val="20"/>
              </w:rPr>
            </w:pPr>
            <w:r w:rsidRPr="00F72BA1">
              <w:rPr>
                <w:rFonts w:ascii="Arial" w:hAnsi="Arial" w:cs="Arial"/>
                <w:color w:val="000000"/>
                <w:sz w:val="20"/>
                <w:szCs w:val="20"/>
              </w:rPr>
              <w:t>(0.3)</w:t>
            </w:r>
          </w:p>
        </w:tc>
        <w:tc>
          <w:tcPr>
            <w:tcW w:w="1134" w:type="dxa"/>
            <w:tcBorders>
              <w:top w:val="single" w:sz="6" w:space="0" w:color="auto"/>
              <w:left w:val="nil"/>
              <w:bottom w:val="double" w:sz="4" w:space="0" w:color="auto"/>
              <w:right w:val="nil"/>
            </w:tcBorders>
            <w:vAlign w:val="bottom"/>
          </w:tcPr>
          <w:p w14:paraId="28715AB3" w14:textId="77777777" w:rsidR="008C676E" w:rsidRPr="00F72BA1" w:rsidRDefault="008C676E" w:rsidP="00AB1DC6">
            <w:pPr>
              <w:autoSpaceDE w:val="0"/>
              <w:autoSpaceDN w:val="0"/>
              <w:adjustRightInd w:val="0"/>
              <w:spacing w:after="0" w:line="0" w:lineRule="atLeast"/>
              <w:jc w:val="right"/>
              <w:rPr>
                <w:rFonts w:ascii="Arial" w:hAnsi="Arial" w:cs="Arial"/>
                <w:b/>
                <w:bCs/>
                <w:color w:val="000000"/>
                <w:sz w:val="20"/>
                <w:szCs w:val="20"/>
              </w:rPr>
            </w:pPr>
            <w:r w:rsidRPr="00F72BA1">
              <w:rPr>
                <w:rFonts w:ascii="Arial" w:hAnsi="Arial" w:cs="Arial"/>
                <w:b/>
                <w:bCs/>
                <w:color w:val="000000"/>
                <w:sz w:val="20"/>
                <w:szCs w:val="20"/>
              </w:rPr>
              <w:t>(0.7)</w:t>
            </w:r>
          </w:p>
        </w:tc>
        <w:tc>
          <w:tcPr>
            <w:tcW w:w="1134" w:type="dxa"/>
            <w:tcBorders>
              <w:top w:val="single" w:sz="6" w:space="0" w:color="auto"/>
              <w:left w:val="nil"/>
              <w:bottom w:val="double" w:sz="4" w:space="0" w:color="auto"/>
              <w:right w:val="nil"/>
            </w:tcBorders>
            <w:vAlign w:val="bottom"/>
          </w:tcPr>
          <w:p w14:paraId="1FB159A0" w14:textId="77777777" w:rsidR="008C676E" w:rsidRPr="00F72BA1" w:rsidRDefault="008C676E" w:rsidP="00AB1DC6">
            <w:pPr>
              <w:autoSpaceDE w:val="0"/>
              <w:autoSpaceDN w:val="0"/>
              <w:adjustRightInd w:val="0"/>
              <w:spacing w:after="0" w:line="0" w:lineRule="atLeast"/>
              <w:jc w:val="right"/>
              <w:rPr>
                <w:rFonts w:ascii="Arial" w:hAnsi="Arial" w:cs="Arial"/>
                <w:color w:val="000000"/>
                <w:sz w:val="20"/>
                <w:szCs w:val="20"/>
              </w:rPr>
            </w:pPr>
            <w:r w:rsidRPr="00F72BA1">
              <w:rPr>
                <w:rFonts w:ascii="Arial" w:hAnsi="Arial" w:cs="Arial"/>
                <w:color w:val="000000"/>
                <w:sz w:val="20"/>
                <w:szCs w:val="20"/>
              </w:rPr>
              <w:t>(3.1)</w:t>
            </w:r>
          </w:p>
        </w:tc>
      </w:tr>
    </w:tbl>
    <w:p w14:paraId="2182FAD6" w14:textId="77777777" w:rsidR="008C676E" w:rsidRPr="00372825" w:rsidRDefault="008C676E" w:rsidP="008C676E">
      <w:pPr>
        <w:spacing w:after="0"/>
        <w:rPr>
          <w:rFonts w:ascii="Arial" w:eastAsia="Times New Roman" w:hAnsi="Arial" w:cs="Arial"/>
          <w:color w:val="000000"/>
          <w:sz w:val="20"/>
          <w:szCs w:val="20"/>
          <w:lang w:eastAsia="en-GB"/>
        </w:rPr>
      </w:pPr>
    </w:p>
    <w:p w14:paraId="38DD97D1" w14:textId="77777777" w:rsidR="008C676E" w:rsidRPr="00372825" w:rsidRDefault="008C676E" w:rsidP="008C676E">
      <w:pPr>
        <w:spacing w:after="0"/>
        <w:jc w:val="both"/>
        <w:rPr>
          <w:rFonts w:ascii="Arial" w:eastAsia="Times New Roman" w:hAnsi="Arial" w:cs="Arial"/>
          <w:color w:val="000000"/>
          <w:sz w:val="20"/>
          <w:szCs w:val="20"/>
          <w:lang w:eastAsia="en-GB"/>
        </w:rPr>
      </w:pPr>
      <w:r w:rsidRPr="00372825">
        <w:rPr>
          <w:rFonts w:ascii="Arial" w:eastAsia="Times New Roman" w:hAnsi="Arial" w:cs="Arial"/>
          <w:color w:val="000000"/>
          <w:sz w:val="20"/>
          <w:szCs w:val="20"/>
          <w:lang w:eastAsia="en-GB"/>
        </w:rPr>
        <w:t>In the Spring Budget 2021, the UK Government announced that the corporation tax rate would increase to 25% with effect from 1 April 2023. Deferred taxes at the statement of financial position date have been remeasured at 25% as the announced change has been enacted.</w:t>
      </w:r>
    </w:p>
    <w:p w14:paraId="703DE962" w14:textId="51525407" w:rsidR="00B90303" w:rsidRDefault="00B90303" w:rsidP="008C676E">
      <w:pPr>
        <w:spacing w:after="0"/>
        <w:rPr>
          <w:rFonts w:ascii="Arial" w:eastAsia="Times New Roman" w:hAnsi="Arial" w:cs="Arial"/>
          <w:color w:val="000000"/>
          <w:sz w:val="20"/>
          <w:szCs w:val="20"/>
          <w:highlight w:val="yellow"/>
          <w:lang w:eastAsia="en-GB"/>
        </w:rPr>
      </w:pPr>
    </w:p>
    <w:p w14:paraId="122F5362" w14:textId="77777777" w:rsidR="00B90303" w:rsidRDefault="00B90303" w:rsidP="00B90303">
      <w:pPr>
        <w:spacing w:after="0"/>
        <w:jc w:val="both"/>
        <w:rPr>
          <w:rFonts w:ascii="Arial" w:eastAsia="Times New Roman" w:hAnsi="Arial" w:cs="Arial"/>
          <w:color w:val="000000"/>
          <w:sz w:val="20"/>
          <w:szCs w:val="20"/>
          <w:highlight w:val="yellow"/>
          <w:lang w:eastAsia="en-GB"/>
        </w:rPr>
      </w:pPr>
    </w:p>
    <w:p w14:paraId="3C9E96F7" w14:textId="04CD81C4" w:rsidR="00B90303" w:rsidRPr="00B72BF4" w:rsidRDefault="00A61E77" w:rsidP="00B90303">
      <w:pPr>
        <w:spacing w:after="0" w:line="240" w:lineRule="auto"/>
        <w:jc w:val="both"/>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w:t>
      </w:r>
      <w:r w:rsidR="00B90303" w:rsidRPr="00B72BF4">
        <w:rPr>
          <w:rFonts w:ascii="Arial" w:eastAsia="Times New Roman" w:hAnsi="Arial" w:cs="Arial"/>
          <w:b/>
          <w:bCs/>
          <w:color w:val="000000"/>
          <w:sz w:val="20"/>
          <w:szCs w:val="20"/>
          <w:lang w:eastAsia="en-GB"/>
        </w:rPr>
        <w:t>. Earnings per ordinary share</w:t>
      </w:r>
    </w:p>
    <w:p w14:paraId="2AF4F384" w14:textId="5523BBD2" w:rsidR="0051500E" w:rsidRDefault="008C676E" w:rsidP="008C676E">
      <w:pPr>
        <w:spacing w:after="0" w:line="240" w:lineRule="auto"/>
        <w:jc w:val="both"/>
        <w:rPr>
          <w:rFonts w:ascii="Arial" w:hAnsi="Arial" w:cs="Arial"/>
          <w:sz w:val="20"/>
          <w:szCs w:val="20"/>
        </w:rPr>
      </w:pPr>
      <w:r w:rsidRPr="002A43D5">
        <w:rPr>
          <w:rFonts w:ascii="Arial" w:hAnsi="Arial" w:cs="Arial"/>
          <w:sz w:val="20"/>
          <w:szCs w:val="20"/>
        </w:rPr>
        <w:t xml:space="preserve">Both the basic and diluted earnings per share have been calculated using the profit attributable to shareholders of the parent company (Marlowe plc) as the numerator, i.e. no adjustments to profit were necessary in 2024 or 2023. </w:t>
      </w:r>
    </w:p>
    <w:p w14:paraId="2A42EAB4" w14:textId="77777777" w:rsidR="0051500E" w:rsidRDefault="0051500E" w:rsidP="008C676E">
      <w:pPr>
        <w:spacing w:after="0" w:line="240" w:lineRule="auto"/>
        <w:jc w:val="both"/>
        <w:rPr>
          <w:rFonts w:ascii="Arial" w:hAnsi="Arial" w:cs="Arial"/>
          <w:sz w:val="20"/>
          <w:szCs w:val="20"/>
        </w:rPr>
      </w:pPr>
    </w:p>
    <w:p w14:paraId="5EC6ABBD" w14:textId="77777777" w:rsidR="002D1783" w:rsidRPr="002A43D5" w:rsidRDefault="002D1783" w:rsidP="008C676E">
      <w:pPr>
        <w:spacing w:after="0" w:line="240" w:lineRule="auto"/>
        <w:jc w:val="both"/>
        <w:rPr>
          <w:rFonts w:ascii="Arial" w:hAnsi="Arial" w:cs="Arial"/>
          <w:sz w:val="20"/>
          <w:szCs w:val="20"/>
        </w:rPr>
      </w:pPr>
    </w:p>
    <w:tbl>
      <w:tblPr>
        <w:tblW w:w="9811" w:type="dxa"/>
        <w:tblInd w:w="-30" w:type="dxa"/>
        <w:tblLayout w:type="fixed"/>
        <w:tblLook w:val="0000" w:firstRow="0" w:lastRow="0" w:firstColumn="0" w:lastColumn="0" w:noHBand="0" w:noVBand="0"/>
      </w:tblPr>
      <w:tblGrid>
        <w:gridCol w:w="3574"/>
        <w:gridCol w:w="3118"/>
        <w:gridCol w:w="3119"/>
      </w:tblGrid>
      <w:tr w:rsidR="008C676E" w:rsidRPr="005C5D75" w14:paraId="559A61DB" w14:textId="77777777" w:rsidTr="00F72BA1">
        <w:trPr>
          <w:trHeight w:val="283"/>
        </w:trPr>
        <w:tc>
          <w:tcPr>
            <w:tcW w:w="3574" w:type="dxa"/>
            <w:tcBorders>
              <w:top w:val="nil"/>
              <w:left w:val="nil"/>
              <w:bottom w:val="single" w:sz="4" w:space="0" w:color="auto"/>
              <w:right w:val="nil"/>
            </w:tcBorders>
            <w:vAlign w:val="bottom"/>
          </w:tcPr>
          <w:p w14:paraId="36938A9E" w14:textId="77777777" w:rsidR="008C676E" w:rsidRPr="002A43D5"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3118" w:type="dxa"/>
            <w:tcBorders>
              <w:left w:val="nil"/>
              <w:bottom w:val="single" w:sz="4" w:space="0" w:color="auto"/>
              <w:right w:val="nil"/>
            </w:tcBorders>
            <w:vAlign w:val="bottom"/>
          </w:tcPr>
          <w:p w14:paraId="55399EE5" w14:textId="77777777" w:rsidR="008C676E" w:rsidRPr="002A43D5" w:rsidRDefault="008C676E" w:rsidP="00AB1DC6">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2024</w:t>
            </w:r>
          </w:p>
        </w:tc>
        <w:tc>
          <w:tcPr>
            <w:tcW w:w="3119" w:type="dxa"/>
            <w:tcBorders>
              <w:left w:val="nil"/>
              <w:bottom w:val="single" w:sz="4" w:space="0" w:color="auto"/>
              <w:right w:val="nil"/>
            </w:tcBorders>
            <w:vAlign w:val="bottom"/>
          </w:tcPr>
          <w:p w14:paraId="1E91ACAE" w14:textId="77777777" w:rsidR="008C676E" w:rsidRPr="002A43D5" w:rsidRDefault="008C676E" w:rsidP="00AB1DC6">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2023</w:t>
            </w:r>
          </w:p>
        </w:tc>
      </w:tr>
      <w:tr w:rsidR="002D1783" w:rsidRPr="005C5D75" w14:paraId="252EDE69" w14:textId="77777777" w:rsidTr="00F72BA1">
        <w:trPr>
          <w:trHeight w:val="283"/>
        </w:trPr>
        <w:tc>
          <w:tcPr>
            <w:tcW w:w="3574" w:type="dxa"/>
            <w:tcBorders>
              <w:top w:val="single" w:sz="4" w:space="0" w:color="auto"/>
              <w:left w:val="nil"/>
              <w:right w:val="nil"/>
            </w:tcBorders>
            <w:vAlign w:val="bottom"/>
          </w:tcPr>
          <w:p w14:paraId="580C7EA2" w14:textId="25572421" w:rsidR="002D1783" w:rsidRPr="00F72BA1" w:rsidRDefault="002D1783" w:rsidP="00F72BA1">
            <w:pPr>
              <w:autoSpaceDE w:val="0"/>
              <w:autoSpaceDN w:val="0"/>
              <w:adjustRightInd w:val="0"/>
              <w:spacing w:after="0" w:line="0" w:lineRule="atLeast"/>
              <w:rPr>
                <w:rFonts w:ascii="Arial" w:hAnsi="Arial" w:cs="Arial"/>
                <w:b/>
                <w:bCs/>
                <w:color w:val="000000"/>
                <w:sz w:val="20"/>
                <w:szCs w:val="20"/>
              </w:rPr>
            </w:pPr>
            <w:r w:rsidRPr="00F72BA1">
              <w:rPr>
                <w:rFonts w:ascii="Arial" w:hAnsi="Arial" w:cs="Arial"/>
                <w:b/>
                <w:bCs/>
                <w:color w:val="000000"/>
                <w:sz w:val="20"/>
                <w:szCs w:val="20"/>
              </w:rPr>
              <w:t>Group</w:t>
            </w:r>
          </w:p>
        </w:tc>
        <w:tc>
          <w:tcPr>
            <w:tcW w:w="3118" w:type="dxa"/>
            <w:tcBorders>
              <w:top w:val="single" w:sz="4" w:space="0" w:color="auto"/>
              <w:left w:val="nil"/>
              <w:right w:val="nil"/>
            </w:tcBorders>
            <w:vAlign w:val="bottom"/>
          </w:tcPr>
          <w:p w14:paraId="7262E869" w14:textId="77777777" w:rsidR="002D1783" w:rsidRPr="002A43D5" w:rsidRDefault="002D1783" w:rsidP="00AB1DC6">
            <w:pPr>
              <w:autoSpaceDE w:val="0"/>
              <w:autoSpaceDN w:val="0"/>
              <w:adjustRightInd w:val="0"/>
              <w:spacing w:after="0" w:line="0" w:lineRule="atLeast"/>
              <w:jc w:val="right"/>
              <w:rPr>
                <w:rFonts w:ascii="Arial" w:hAnsi="Arial" w:cs="Arial"/>
                <w:b/>
                <w:bCs/>
                <w:color w:val="000000"/>
                <w:sz w:val="20"/>
                <w:szCs w:val="20"/>
              </w:rPr>
            </w:pPr>
          </w:p>
        </w:tc>
        <w:tc>
          <w:tcPr>
            <w:tcW w:w="3119" w:type="dxa"/>
            <w:tcBorders>
              <w:top w:val="single" w:sz="4" w:space="0" w:color="auto"/>
              <w:left w:val="nil"/>
              <w:right w:val="nil"/>
            </w:tcBorders>
            <w:vAlign w:val="bottom"/>
          </w:tcPr>
          <w:p w14:paraId="577B02FF" w14:textId="77777777" w:rsidR="002D1783" w:rsidRPr="002A43D5" w:rsidRDefault="002D1783" w:rsidP="00AB1DC6">
            <w:pPr>
              <w:autoSpaceDE w:val="0"/>
              <w:autoSpaceDN w:val="0"/>
              <w:adjustRightInd w:val="0"/>
              <w:spacing w:after="0" w:line="0" w:lineRule="atLeast"/>
              <w:jc w:val="right"/>
              <w:rPr>
                <w:rFonts w:ascii="Arial" w:hAnsi="Arial" w:cs="Arial"/>
                <w:b/>
                <w:bCs/>
                <w:color w:val="000000"/>
                <w:sz w:val="20"/>
                <w:szCs w:val="20"/>
              </w:rPr>
            </w:pPr>
          </w:p>
        </w:tc>
      </w:tr>
      <w:tr w:rsidR="002D1783" w:rsidRPr="005C5D75" w14:paraId="077789E4" w14:textId="77777777" w:rsidTr="00F72BA1">
        <w:trPr>
          <w:trHeight w:val="283"/>
        </w:trPr>
        <w:tc>
          <w:tcPr>
            <w:tcW w:w="3574" w:type="dxa"/>
            <w:tcBorders>
              <w:left w:val="nil"/>
              <w:right w:val="nil"/>
            </w:tcBorders>
            <w:vAlign w:val="bottom"/>
          </w:tcPr>
          <w:p w14:paraId="1EA8F5D0" w14:textId="4F6B6A07" w:rsidR="002D1783" w:rsidRPr="002A43D5" w:rsidRDefault="002D1783" w:rsidP="002D1783">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L</w:t>
            </w:r>
            <w:r w:rsidRPr="002A43D5">
              <w:rPr>
                <w:rFonts w:ascii="Arial" w:hAnsi="Arial" w:cs="Arial"/>
                <w:color w:val="000000"/>
                <w:sz w:val="20"/>
                <w:szCs w:val="20"/>
              </w:rPr>
              <w:t>oss</w:t>
            </w:r>
            <w:r>
              <w:rPr>
                <w:rFonts w:ascii="Arial" w:hAnsi="Arial" w:cs="Arial"/>
                <w:color w:val="000000"/>
                <w:sz w:val="20"/>
                <w:szCs w:val="20"/>
              </w:rPr>
              <w:t xml:space="preserve"> </w:t>
            </w:r>
            <w:r w:rsidRPr="002A43D5">
              <w:rPr>
                <w:rFonts w:ascii="Arial" w:hAnsi="Arial" w:cs="Arial"/>
                <w:color w:val="000000"/>
                <w:sz w:val="20"/>
                <w:szCs w:val="20"/>
              </w:rPr>
              <w:t>after tax for the period</w:t>
            </w:r>
          </w:p>
        </w:tc>
        <w:tc>
          <w:tcPr>
            <w:tcW w:w="3118" w:type="dxa"/>
            <w:tcBorders>
              <w:left w:val="nil"/>
              <w:right w:val="nil"/>
            </w:tcBorders>
            <w:vAlign w:val="bottom"/>
          </w:tcPr>
          <w:p w14:paraId="52EAEB94" w14:textId="77777777"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proofErr w:type="gramStart"/>
            <w:r w:rsidRPr="002A43D5">
              <w:rPr>
                <w:rFonts w:ascii="Arial" w:hAnsi="Arial" w:cs="Arial"/>
                <w:b/>
                <w:bCs/>
                <w:color w:val="000000"/>
                <w:sz w:val="20"/>
                <w:szCs w:val="20"/>
              </w:rPr>
              <w:t>£(</w:t>
            </w:r>
            <w:proofErr w:type="gramEnd"/>
            <w:r w:rsidRPr="002A43D5">
              <w:rPr>
                <w:rFonts w:ascii="Arial" w:hAnsi="Arial" w:cs="Arial"/>
                <w:b/>
                <w:bCs/>
                <w:color w:val="000000"/>
                <w:sz w:val="20"/>
                <w:szCs w:val="20"/>
              </w:rPr>
              <w:t>10.2)m</w:t>
            </w:r>
          </w:p>
        </w:tc>
        <w:tc>
          <w:tcPr>
            <w:tcW w:w="3119" w:type="dxa"/>
            <w:tcBorders>
              <w:left w:val="nil"/>
              <w:right w:val="nil"/>
            </w:tcBorders>
            <w:vAlign w:val="bottom"/>
          </w:tcPr>
          <w:p w14:paraId="195C5D64" w14:textId="77777777"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proofErr w:type="gramStart"/>
            <w:r w:rsidRPr="002A43D5">
              <w:rPr>
                <w:rFonts w:ascii="Arial" w:hAnsi="Arial" w:cs="Arial"/>
                <w:color w:val="000000"/>
                <w:sz w:val="20"/>
                <w:szCs w:val="20"/>
              </w:rPr>
              <w:t>£(</w:t>
            </w:r>
            <w:proofErr w:type="gramEnd"/>
            <w:r w:rsidRPr="002A43D5">
              <w:rPr>
                <w:rFonts w:ascii="Arial" w:hAnsi="Arial" w:cs="Arial"/>
                <w:color w:val="000000"/>
                <w:sz w:val="20"/>
                <w:szCs w:val="20"/>
              </w:rPr>
              <w:t>3.8)m</w:t>
            </w:r>
          </w:p>
        </w:tc>
      </w:tr>
      <w:tr w:rsidR="002D1783" w:rsidRPr="005C5D75" w14:paraId="0278A103" w14:textId="77777777" w:rsidTr="00AB1DC6">
        <w:trPr>
          <w:trHeight w:val="283"/>
        </w:trPr>
        <w:tc>
          <w:tcPr>
            <w:tcW w:w="3574" w:type="dxa"/>
            <w:tcBorders>
              <w:left w:val="nil"/>
              <w:right w:val="nil"/>
            </w:tcBorders>
            <w:vAlign w:val="bottom"/>
          </w:tcPr>
          <w:p w14:paraId="0FF1AB06" w14:textId="66CF6FA6" w:rsidR="002D1783" w:rsidRPr="002A43D5" w:rsidRDefault="002D1783" w:rsidP="002D1783">
            <w:pPr>
              <w:autoSpaceDE w:val="0"/>
              <w:autoSpaceDN w:val="0"/>
              <w:adjustRightInd w:val="0"/>
              <w:spacing w:after="0" w:line="0" w:lineRule="atLeast"/>
              <w:rPr>
                <w:rFonts w:ascii="Arial" w:hAnsi="Arial" w:cs="Arial"/>
                <w:color w:val="000000"/>
                <w:sz w:val="20"/>
                <w:szCs w:val="20"/>
              </w:rPr>
            </w:pPr>
            <w:r w:rsidRPr="002A43D5">
              <w:rPr>
                <w:rFonts w:ascii="Arial" w:hAnsi="Arial" w:cs="Arial"/>
                <w:color w:val="000000"/>
                <w:sz w:val="20"/>
                <w:szCs w:val="20"/>
              </w:rPr>
              <w:t xml:space="preserve">Basic earnings per share </w:t>
            </w:r>
          </w:p>
        </w:tc>
        <w:tc>
          <w:tcPr>
            <w:tcW w:w="3118" w:type="dxa"/>
            <w:tcBorders>
              <w:left w:val="nil"/>
              <w:right w:val="nil"/>
            </w:tcBorders>
            <w:vAlign w:val="bottom"/>
          </w:tcPr>
          <w:p w14:paraId="453ACBB0" w14:textId="77777777"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w:t>
            </w:r>
            <w:proofErr w:type="gramStart"/>
            <w:r w:rsidRPr="002A43D5">
              <w:rPr>
                <w:rFonts w:ascii="Arial" w:hAnsi="Arial" w:cs="Arial"/>
                <w:b/>
                <w:bCs/>
                <w:color w:val="000000"/>
                <w:sz w:val="20"/>
                <w:szCs w:val="20"/>
              </w:rPr>
              <w:t>10.6)p</w:t>
            </w:r>
            <w:proofErr w:type="gramEnd"/>
          </w:p>
        </w:tc>
        <w:tc>
          <w:tcPr>
            <w:tcW w:w="3119" w:type="dxa"/>
            <w:tcBorders>
              <w:left w:val="nil"/>
              <w:right w:val="nil"/>
            </w:tcBorders>
            <w:vAlign w:val="bottom"/>
          </w:tcPr>
          <w:p w14:paraId="7BA4F5DA" w14:textId="77777777"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r w:rsidRPr="002A43D5">
              <w:rPr>
                <w:rFonts w:ascii="Arial" w:hAnsi="Arial" w:cs="Arial"/>
                <w:color w:val="000000"/>
                <w:sz w:val="20"/>
                <w:szCs w:val="20"/>
              </w:rPr>
              <w:t>(</w:t>
            </w:r>
            <w:proofErr w:type="gramStart"/>
            <w:r w:rsidRPr="002A43D5">
              <w:rPr>
                <w:rFonts w:ascii="Arial" w:hAnsi="Arial" w:cs="Arial"/>
                <w:color w:val="000000"/>
                <w:sz w:val="20"/>
                <w:szCs w:val="20"/>
              </w:rPr>
              <w:t>3.9)p</w:t>
            </w:r>
            <w:proofErr w:type="gramEnd"/>
          </w:p>
        </w:tc>
      </w:tr>
      <w:tr w:rsidR="002D1783" w:rsidRPr="005C5D75" w14:paraId="19350064" w14:textId="77777777" w:rsidTr="00AB1DC6">
        <w:trPr>
          <w:trHeight w:val="283"/>
        </w:trPr>
        <w:tc>
          <w:tcPr>
            <w:tcW w:w="3574" w:type="dxa"/>
            <w:tcBorders>
              <w:left w:val="nil"/>
              <w:bottom w:val="single" w:sz="4" w:space="0" w:color="auto"/>
              <w:right w:val="nil"/>
            </w:tcBorders>
            <w:vAlign w:val="bottom"/>
          </w:tcPr>
          <w:p w14:paraId="68C5AA75" w14:textId="3EFB1CBB" w:rsidR="002D1783" w:rsidRPr="002A43D5" w:rsidRDefault="002D1783" w:rsidP="002D1783">
            <w:pPr>
              <w:autoSpaceDE w:val="0"/>
              <w:autoSpaceDN w:val="0"/>
              <w:adjustRightInd w:val="0"/>
              <w:spacing w:after="0" w:line="0" w:lineRule="atLeast"/>
              <w:rPr>
                <w:rFonts w:ascii="Arial" w:hAnsi="Arial" w:cs="Arial"/>
                <w:color w:val="000000"/>
                <w:sz w:val="20"/>
                <w:szCs w:val="20"/>
              </w:rPr>
            </w:pPr>
            <w:r w:rsidRPr="002A43D5">
              <w:rPr>
                <w:rFonts w:ascii="Arial" w:hAnsi="Arial" w:cs="Arial"/>
                <w:color w:val="000000"/>
                <w:sz w:val="20"/>
                <w:szCs w:val="20"/>
              </w:rPr>
              <w:t xml:space="preserve">Fully diluted earnings per share </w:t>
            </w:r>
          </w:p>
        </w:tc>
        <w:tc>
          <w:tcPr>
            <w:tcW w:w="3118" w:type="dxa"/>
            <w:tcBorders>
              <w:left w:val="nil"/>
              <w:bottom w:val="single" w:sz="4" w:space="0" w:color="auto"/>
              <w:right w:val="nil"/>
            </w:tcBorders>
            <w:vAlign w:val="bottom"/>
          </w:tcPr>
          <w:p w14:paraId="02293775" w14:textId="77777777"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w:t>
            </w:r>
            <w:proofErr w:type="gramStart"/>
            <w:r w:rsidRPr="002A43D5">
              <w:rPr>
                <w:rFonts w:ascii="Arial" w:hAnsi="Arial" w:cs="Arial"/>
                <w:b/>
                <w:bCs/>
                <w:color w:val="000000"/>
                <w:sz w:val="20"/>
                <w:szCs w:val="20"/>
              </w:rPr>
              <w:t>10.6)p</w:t>
            </w:r>
            <w:proofErr w:type="gramEnd"/>
          </w:p>
        </w:tc>
        <w:tc>
          <w:tcPr>
            <w:tcW w:w="3119" w:type="dxa"/>
            <w:tcBorders>
              <w:left w:val="nil"/>
              <w:bottom w:val="single" w:sz="4" w:space="0" w:color="auto"/>
              <w:right w:val="nil"/>
            </w:tcBorders>
            <w:vAlign w:val="bottom"/>
          </w:tcPr>
          <w:p w14:paraId="02412BAB" w14:textId="77777777"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r w:rsidRPr="002A43D5">
              <w:rPr>
                <w:rFonts w:ascii="Arial" w:hAnsi="Arial" w:cs="Arial"/>
                <w:color w:val="000000"/>
                <w:sz w:val="20"/>
                <w:szCs w:val="20"/>
              </w:rPr>
              <w:t>(</w:t>
            </w:r>
            <w:proofErr w:type="gramStart"/>
            <w:r w:rsidRPr="002A43D5">
              <w:rPr>
                <w:rFonts w:ascii="Arial" w:hAnsi="Arial" w:cs="Arial"/>
                <w:color w:val="000000"/>
                <w:sz w:val="20"/>
                <w:szCs w:val="20"/>
              </w:rPr>
              <w:t>3.9)p</w:t>
            </w:r>
            <w:proofErr w:type="gramEnd"/>
          </w:p>
        </w:tc>
      </w:tr>
      <w:tr w:rsidR="002D1783" w:rsidRPr="005C5D75" w14:paraId="3B871F87" w14:textId="77777777" w:rsidTr="00F72BA1">
        <w:trPr>
          <w:trHeight w:val="283"/>
        </w:trPr>
        <w:tc>
          <w:tcPr>
            <w:tcW w:w="3574" w:type="dxa"/>
            <w:tcBorders>
              <w:left w:val="nil"/>
              <w:right w:val="nil"/>
            </w:tcBorders>
            <w:vAlign w:val="bottom"/>
          </w:tcPr>
          <w:p w14:paraId="0867CEBC" w14:textId="21A5994C" w:rsidR="002D1783" w:rsidRPr="00F72BA1" w:rsidRDefault="002D1783" w:rsidP="00AB1DC6">
            <w:pPr>
              <w:autoSpaceDE w:val="0"/>
              <w:autoSpaceDN w:val="0"/>
              <w:adjustRightInd w:val="0"/>
              <w:spacing w:after="0" w:line="0" w:lineRule="atLeast"/>
              <w:rPr>
                <w:rFonts w:ascii="Arial" w:hAnsi="Arial" w:cs="Arial"/>
                <w:b/>
                <w:bCs/>
                <w:color w:val="000000"/>
                <w:sz w:val="20"/>
                <w:szCs w:val="20"/>
              </w:rPr>
            </w:pPr>
            <w:r w:rsidRPr="00F72BA1">
              <w:rPr>
                <w:rFonts w:ascii="Arial" w:hAnsi="Arial" w:cs="Arial"/>
                <w:b/>
                <w:bCs/>
                <w:color w:val="000000"/>
                <w:sz w:val="20"/>
                <w:szCs w:val="20"/>
              </w:rPr>
              <w:t>Continuing</w:t>
            </w:r>
          </w:p>
        </w:tc>
        <w:tc>
          <w:tcPr>
            <w:tcW w:w="3118" w:type="dxa"/>
            <w:tcBorders>
              <w:left w:val="nil"/>
              <w:right w:val="nil"/>
            </w:tcBorders>
            <w:vAlign w:val="bottom"/>
          </w:tcPr>
          <w:p w14:paraId="1172BDDE" w14:textId="77777777" w:rsidR="002D1783" w:rsidRPr="002A43D5" w:rsidRDefault="002D1783" w:rsidP="00AB1DC6">
            <w:pPr>
              <w:autoSpaceDE w:val="0"/>
              <w:autoSpaceDN w:val="0"/>
              <w:adjustRightInd w:val="0"/>
              <w:spacing w:after="0" w:line="0" w:lineRule="atLeast"/>
              <w:jc w:val="right"/>
              <w:rPr>
                <w:rFonts w:ascii="Arial" w:hAnsi="Arial" w:cs="Arial"/>
                <w:b/>
                <w:bCs/>
                <w:color w:val="000000"/>
                <w:sz w:val="20"/>
                <w:szCs w:val="20"/>
              </w:rPr>
            </w:pPr>
          </w:p>
        </w:tc>
        <w:tc>
          <w:tcPr>
            <w:tcW w:w="3119" w:type="dxa"/>
            <w:tcBorders>
              <w:left w:val="nil"/>
              <w:right w:val="nil"/>
            </w:tcBorders>
            <w:vAlign w:val="bottom"/>
          </w:tcPr>
          <w:p w14:paraId="79EAB0A2" w14:textId="77777777" w:rsidR="002D1783" w:rsidRPr="002A43D5" w:rsidRDefault="002D1783" w:rsidP="00AB1DC6">
            <w:pPr>
              <w:autoSpaceDE w:val="0"/>
              <w:autoSpaceDN w:val="0"/>
              <w:adjustRightInd w:val="0"/>
              <w:spacing w:after="0" w:line="0" w:lineRule="atLeast"/>
              <w:jc w:val="right"/>
              <w:rPr>
                <w:rFonts w:ascii="Arial" w:hAnsi="Arial" w:cs="Arial"/>
                <w:color w:val="000000"/>
                <w:sz w:val="20"/>
                <w:szCs w:val="20"/>
              </w:rPr>
            </w:pPr>
          </w:p>
        </w:tc>
      </w:tr>
      <w:tr w:rsidR="002D1783" w:rsidRPr="005C5D75" w14:paraId="59CB7CAD" w14:textId="77777777" w:rsidTr="00F72BA1">
        <w:trPr>
          <w:trHeight w:val="283"/>
        </w:trPr>
        <w:tc>
          <w:tcPr>
            <w:tcW w:w="3574" w:type="dxa"/>
            <w:tcBorders>
              <w:left w:val="nil"/>
              <w:right w:val="nil"/>
            </w:tcBorders>
            <w:vAlign w:val="bottom"/>
          </w:tcPr>
          <w:p w14:paraId="2F84E915" w14:textId="5D15E999" w:rsidR="002D1783" w:rsidRPr="002A43D5" w:rsidRDefault="002D1783" w:rsidP="002D1783">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L</w:t>
            </w:r>
            <w:r w:rsidRPr="002A43D5">
              <w:rPr>
                <w:rFonts w:ascii="Arial" w:hAnsi="Arial" w:cs="Arial"/>
                <w:color w:val="000000"/>
                <w:sz w:val="20"/>
                <w:szCs w:val="20"/>
              </w:rPr>
              <w:t>oss after tax for the period</w:t>
            </w:r>
          </w:p>
        </w:tc>
        <w:tc>
          <w:tcPr>
            <w:tcW w:w="3118" w:type="dxa"/>
            <w:tcBorders>
              <w:left w:val="nil"/>
              <w:right w:val="nil"/>
            </w:tcBorders>
            <w:vAlign w:val="bottom"/>
          </w:tcPr>
          <w:p w14:paraId="18EE92F0" w14:textId="68E8874C"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proofErr w:type="gramStart"/>
            <w:r>
              <w:rPr>
                <w:rFonts w:ascii="Arial" w:hAnsi="Arial" w:cs="Arial"/>
                <w:b/>
                <w:bCs/>
                <w:color w:val="000000"/>
                <w:sz w:val="20"/>
                <w:szCs w:val="20"/>
              </w:rPr>
              <w:t>£(</w:t>
            </w:r>
            <w:proofErr w:type="gramEnd"/>
            <w:r>
              <w:rPr>
                <w:rFonts w:ascii="Arial" w:hAnsi="Arial" w:cs="Arial"/>
                <w:b/>
                <w:bCs/>
                <w:color w:val="000000"/>
                <w:sz w:val="20"/>
                <w:szCs w:val="20"/>
              </w:rPr>
              <w:t>13.7)m</w:t>
            </w:r>
          </w:p>
        </w:tc>
        <w:tc>
          <w:tcPr>
            <w:tcW w:w="3119" w:type="dxa"/>
            <w:tcBorders>
              <w:left w:val="nil"/>
              <w:right w:val="nil"/>
            </w:tcBorders>
            <w:vAlign w:val="bottom"/>
          </w:tcPr>
          <w:p w14:paraId="1387BF88" w14:textId="07A22AE3"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proofErr w:type="gramStart"/>
            <w:r>
              <w:rPr>
                <w:rFonts w:ascii="Arial" w:hAnsi="Arial" w:cs="Arial"/>
                <w:color w:val="000000"/>
                <w:sz w:val="20"/>
                <w:szCs w:val="20"/>
              </w:rPr>
              <w:t>£(</w:t>
            </w:r>
            <w:proofErr w:type="gramEnd"/>
            <w:r>
              <w:rPr>
                <w:rFonts w:ascii="Arial" w:hAnsi="Arial" w:cs="Arial"/>
                <w:color w:val="000000"/>
                <w:sz w:val="20"/>
                <w:szCs w:val="20"/>
              </w:rPr>
              <w:t>1.7)m</w:t>
            </w:r>
          </w:p>
        </w:tc>
      </w:tr>
      <w:tr w:rsidR="002D1783" w:rsidRPr="005C5D75" w14:paraId="4144F42B" w14:textId="77777777" w:rsidTr="00F72BA1">
        <w:trPr>
          <w:trHeight w:val="283"/>
        </w:trPr>
        <w:tc>
          <w:tcPr>
            <w:tcW w:w="3574" w:type="dxa"/>
            <w:tcBorders>
              <w:left w:val="nil"/>
              <w:right w:val="nil"/>
            </w:tcBorders>
            <w:vAlign w:val="bottom"/>
          </w:tcPr>
          <w:p w14:paraId="5ADB3825" w14:textId="0963BFD1" w:rsidR="002D1783" w:rsidRPr="002A43D5" w:rsidRDefault="002D1783" w:rsidP="002D1783">
            <w:pPr>
              <w:autoSpaceDE w:val="0"/>
              <w:autoSpaceDN w:val="0"/>
              <w:adjustRightInd w:val="0"/>
              <w:spacing w:after="0" w:line="0" w:lineRule="atLeast"/>
              <w:rPr>
                <w:rFonts w:ascii="Arial" w:hAnsi="Arial" w:cs="Arial"/>
                <w:color w:val="000000"/>
                <w:sz w:val="20"/>
                <w:szCs w:val="20"/>
              </w:rPr>
            </w:pPr>
            <w:r w:rsidRPr="002A43D5">
              <w:rPr>
                <w:rFonts w:ascii="Arial" w:hAnsi="Arial" w:cs="Arial"/>
                <w:color w:val="000000"/>
                <w:sz w:val="20"/>
                <w:szCs w:val="20"/>
              </w:rPr>
              <w:t xml:space="preserve">Basic earnings per share </w:t>
            </w:r>
          </w:p>
        </w:tc>
        <w:tc>
          <w:tcPr>
            <w:tcW w:w="3118" w:type="dxa"/>
            <w:tcBorders>
              <w:left w:val="nil"/>
              <w:right w:val="nil"/>
            </w:tcBorders>
            <w:vAlign w:val="bottom"/>
          </w:tcPr>
          <w:p w14:paraId="2705B7F6" w14:textId="560CA8E4"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14.2)p</w:t>
            </w:r>
            <w:proofErr w:type="gramEnd"/>
          </w:p>
        </w:tc>
        <w:tc>
          <w:tcPr>
            <w:tcW w:w="3119" w:type="dxa"/>
            <w:tcBorders>
              <w:left w:val="nil"/>
              <w:right w:val="nil"/>
            </w:tcBorders>
            <w:vAlign w:val="bottom"/>
          </w:tcPr>
          <w:p w14:paraId="216F2E03" w14:textId="56BC35DF"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w:t>
            </w:r>
            <w:proofErr w:type="gramStart"/>
            <w:r w:rsidR="00185954">
              <w:rPr>
                <w:rFonts w:ascii="Arial" w:hAnsi="Arial" w:cs="Arial"/>
                <w:color w:val="000000"/>
                <w:sz w:val="20"/>
                <w:szCs w:val="20"/>
              </w:rPr>
              <w:t>1.8</w:t>
            </w:r>
            <w:r>
              <w:rPr>
                <w:rFonts w:ascii="Arial" w:hAnsi="Arial" w:cs="Arial"/>
                <w:color w:val="000000"/>
                <w:sz w:val="20"/>
                <w:szCs w:val="20"/>
              </w:rPr>
              <w:t>)p</w:t>
            </w:r>
            <w:proofErr w:type="gramEnd"/>
          </w:p>
        </w:tc>
      </w:tr>
      <w:tr w:rsidR="002D1783" w:rsidRPr="005C5D75" w14:paraId="049961AE" w14:textId="77777777" w:rsidTr="00F72BA1">
        <w:trPr>
          <w:trHeight w:val="283"/>
        </w:trPr>
        <w:tc>
          <w:tcPr>
            <w:tcW w:w="3574" w:type="dxa"/>
            <w:tcBorders>
              <w:left w:val="nil"/>
              <w:bottom w:val="single" w:sz="4" w:space="0" w:color="auto"/>
              <w:right w:val="nil"/>
            </w:tcBorders>
            <w:vAlign w:val="bottom"/>
          </w:tcPr>
          <w:p w14:paraId="660CD946" w14:textId="05A7FA8D" w:rsidR="002D1783" w:rsidRPr="002A43D5" w:rsidRDefault="002D1783" w:rsidP="002D1783">
            <w:pPr>
              <w:autoSpaceDE w:val="0"/>
              <w:autoSpaceDN w:val="0"/>
              <w:adjustRightInd w:val="0"/>
              <w:spacing w:after="0" w:line="0" w:lineRule="atLeast"/>
              <w:rPr>
                <w:rFonts w:ascii="Arial" w:hAnsi="Arial" w:cs="Arial"/>
                <w:color w:val="000000"/>
                <w:sz w:val="20"/>
                <w:szCs w:val="20"/>
              </w:rPr>
            </w:pPr>
            <w:r w:rsidRPr="002A43D5">
              <w:rPr>
                <w:rFonts w:ascii="Arial" w:hAnsi="Arial" w:cs="Arial"/>
                <w:color w:val="000000"/>
                <w:sz w:val="20"/>
                <w:szCs w:val="20"/>
              </w:rPr>
              <w:t xml:space="preserve">Fully diluted earnings per share </w:t>
            </w:r>
          </w:p>
        </w:tc>
        <w:tc>
          <w:tcPr>
            <w:tcW w:w="3118" w:type="dxa"/>
            <w:tcBorders>
              <w:left w:val="nil"/>
              <w:bottom w:val="single" w:sz="4" w:space="0" w:color="auto"/>
              <w:right w:val="nil"/>
            </w:tcBorders>
            <w:vAlign w:val="bottom"/>
          </w:tcPr>
          <w:p w14:paraId="15F8502A" w14:textId="41A95585"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14.2)p</w:t>
            </w:r>
            <w:proofErr w:type="gramEnd"/>
          </w:p>
        </w:tc>
        <w:tc>
          <w:tcPr>
            <w:tcW w:w="3119" w:type="dxa"/>
            <w:tcBorders>
              <w:left w:val="nil"/>
              <w:bottom w:val="single" w:sz="4" w:space="0" w:color="auto"/>
              <w:right w:val="nil"/>
            </w:tcBorders>
            <w:vAlign w:val="bottom"/>
          </w:tcPr>
          <w:p w14:paraId="722806CA" w14:textId="38E2BE06"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w:t>
            </w:r>
            <w:proofErr w:type="gramStart"/>
            <w:r w:rsidR="00185954">
              <w:rPr>
                <w:rFonts w:ascii="Arial" w:hAnsi="Arial" w:cs="Arial"/>
                <w:color w:val="000000"/>
                <w:sz w:val="20"/>
                <w:szCs w:val="20"/>
              </w:rPr>
              <w:t>1.8</w:t>
            </w:r>
            <w:r>
              <w:rPr>
                <w:rFonts w:ascii="Arial" w:hAnsi="Arial" w:cs="Arial"/>
                <w:color w:val="000000"/>
                <w:sz w:val="20"/>
                <w:szCs w:val="20"/>
              </w:rPr>
              <w:t>)p</w:t>
            </w:r>
            <w:proofErr w:type="gramEnd"/>
          </w:p>
        </w:tc>
      </w:tr>
      <w:tr w:rsidR="002D1783" w:rsidRPr="005C5D75" w14:paraId="51696772" w14:textId="77777777" w:rsidTr="002D1783">
        <w:trPr>
          <w:trHeight w:val="283"/>
        </w:trPr>
        <w:tc>
          <w:tcPr>
            <w:tcW w:w="3574" w:type="dxa"/>
            <w:tcBorders>
              <w:left w:val="nil"/>
              <w:bottom w:val="single" w:sz="4" w:space="0" w:color="auto"/>
              <w:right w:val="nil"/>
            </w:tcBorders>
            <w:vAlign w:val="bottom"/>
          </w:tcPr>
          <w:p w14:paraId="4C3968BA" w14:textId="77777777" w:rsidR="002D1783" w:rsidRPr="002A43D5" w:rsidRDefault="002D1783" w:rsidP="002D1783">
            <w:pPr>
              <w:autoSpaceDE w:val="0"/>
              <w:autoSpaceDN w:val="0"/>
              <w:adjustRightInd w:val="0"/>
              <w:spacing w:after="0" w:line="0" w:lineRule="atLeast"/>
              <w:rPr>
                <w:rFonts w:ascii="Arial" w:hAnsi="Arial" w:cs="Arial"/>
                <w:color w:val="000000"/>
                <w:sz w:val="20"/>
                <w:szCs w:val="20"/>
              </w:rPr>
            </w:pPr>
          </w:p>
        </w:tc>
        <w:tc>
          <w:tcPr>
            <w:tcW w:w="3118" w:type="dxa"/>
            <w:tcBorders>
              <w:left w:val="nil"/>
              <w:bottom w:val="single" w:sz="4" w:space="0" w:color="auto"/>
              <w:right w:val="nil"/>
            </w:tcBorders>
            <w:vAlign w:val="bottom"/>
          </w:tcPr>
          <w:p w14:paraId="51739065" w14:textId="77777777"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p>
        </w:tc>
        <w:tc>
          <w:tcPr>
            <w:tcW w:w="3119" w:type="dxa"/>
            <w:tcBorders>
              <w:left w:val="nil"/>
              <w:bottom w:val="single" w:sz="4" w:space="0" w:color="auto"/>
              <w:right w:val="nil"/>
            </w:tcBorders>
            <w:vAlign w:val="bottom"/>
          </w:tcPr>
          <w:p w14:paraId="597750F3" w14:textId="77777777"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p>
        </w:tc>
      </w:tr>
      <w:tr w:rsidR="002D1783" w:rsidRPr="005C5D75" w14:paraId="5097D064" w14:textId="77777777" w:rsidTr="00AB1DC6">
        <w:trPr>
          <w:trHeight w:val="283"/>
        </w:trPr>
        <w:tc>
          <w:tcPr>
            <w:tcW w:w="3574" w:type="dxa"/>
            <w:tcBorders>
              <w:top w:val="single" w:sz="4" w:space="0" w:color="auto"/>
              <w:left w:val="nil"/>
              <w:right w:val="nil"/>
            </w:tcBorders>
            <w:vAlign w:val="bottom"/>
          </w:tcPr>
          <w:p w14:paraId="215CA875" w14:textId="77777777" w:rsidR="002D1783" w:rsidRPr="002A43D5" w:rsidRDefault="002D1783" w:rsidP="002D1783">
            <w:pPr>
              <w:autoSpaceDE w:val="0"/>
              <w:autoSpaceDN w:val="0"/>
              <w:adjustRightInd w:val="0"/>
              <w:spacing w:after="0" w:line="0" w:lineRule="atLeast"/>
              <w:rPr>
                <w:rFonts w:ascii="Arial" w:hAnsi="Arial" w:cs="Arial"/>
                <w:color w:val="000000"/>
                <w:sz w:val="20"/>
                <w:szCs w:val="20"/>
              </w:rPr>
            </w:pPr>
            <w:r w:rsidRPr="002A43D5">
              <w:rPr>
                <w:rFonts w:ascii="Arial" w:hAnsi="Arial" w:cs="Arial"/>
                <w:color w:val="000000"/>
                <w:sz w:val="20"/>
                <w:szCs w:val="20"/>
              </w:rPr>
              <w:t>Weighted average number of shares in issue</w:t>
            </w:r>
          </w:p>
        </w:tc>
        <w:tc>
          <w:tcPr>
            <w:tcW w:w="3118" w:type="dxa"/>
            <w:tcBorders>
              <w:top w:val="single" w:sz="4" w:space="0" w:color="auto"/>
              <w:left w:val="nil"/>
              <w:right w:val="nil"/>
            </w:tcBorders>
            <w:vAlign w:val="bottom"/>
          </w:tcPr>
          <w:p w14:paraId="7AB76231" w14:textId="77777777"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96,418,045</w:t>
            </w:r>
          </w:p>
        </w:tc>
        <w:tc>
          <w:tcPr>
            <w:tcW w:w="3119" w:type="dxa"/>
            <w:tcBorders>
              <w:top w:val="single" w:sz="4" w:space="0" w:color="auto"/>
              <w:left w:val="nil"/>
              <w:right w:val="nil"/>
            </w:tcBorders>
            <w:vAlign w:val="bottom"/>
          </w:tcPr>
          <w:p w14:paraId="683EE9AF" w14:textId="77777777"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r w:rsidRPr="002A43D5">
              <w:rPr>
                <w:rFonts w:ascii="Arial" w:hAnsi="Arial" w:cs="Arial"/>
                <w:color w:val="000000"/>
                <w:sz w:val="20"/>
                <w:szCs w:val="20"/>
              </w:rPr>
              <w:t>95,868,871</w:t>
            </w:r>
          </w:p>
        </w:tc>
      </w:tr>
      <w:tr w:rsidR="002D1783" w:rsidRPr="005C5D75" w14:paraId="72B4992F" w14:textId="77777777" w:rsidTr="00AB1DC6">
        <w:trPr>
          <w:trHeight w:val="283"/>
        </w:trPr>
        <w:tc>
          <w:tcPr>
            <w:tcW w:w="3574" w:type="dxa"/>
            <w:tcBorders>
              <w:left w:val="nil"/>
              <w:right w:val="nil"/>
            </w:tcBorders>
            <w:vAlign w:val="bottom"/>
          </w:tcPr>
          <w:p w14:paraId="6B2262CB" w14:textId="77777777" w:rsidR="002D1783" w:rsidRPr="002A43D5" w:rsidRDefault="002D1783" w:rsidP="002D1783">
            <w:pPr>
              <w:autoSpaceDE w:val="0"/>
              <w:autoSpaceDN w:val="0"/>
              <w:adjustRightInd w:val="0"/>
              <w:spacing w:after="0" w:line="0" w:lineRule="atLeast"/>
              <w:rPr>
                <w:rFonts w:ascii="Arial" w:hAnsi="Arial" w:cs="Arial"/>
                <w:color w:val="000000"/>
                <w:sz w:val="20"/>
                <w:szCs w:val="20"/>
              </w:rPr>
            </w:pPr>
            <w:r w:rsidRPr="002A43D5">
              <w:rPr>
                <w:rFonts w:ascii="Arial" w:hAnsi="Arial" w:cs="Arial"/>
                <w:color w:val="000000"/>
                <w:sz w:val="20"/>
                <w:szCs w:val="20"/>
              </w:rPr>
              <w:t>Potential dilution of share options</w:t>
            </w:r>
          </w:p>
        </w:tc>
        <w:tc>
          <w:tcPr>
            <w:tcW w:w="3118" w:type="dxa"/>
            <w:tcBorders>
              <w:left w:val="nil"/>
              <w:right w:val="nil"/>
            </w:tcBorders>
            <w:vAlign w:val="bottom"/>
          </w:tcPr>
          <w:p w14:paraId="2134F71D" w14:textId="77777777"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w:t>
            </w:r>
          </w:p>
        </w:tc>
        <w:tc>
          <w:tcPr>
            <w:tcW w:w="3119" w:type="dxa"/>
            <w:tcBorders>
              <w:left w:val="nil"/>
              <w:right w:val="nil"/>
            </w:tcBorders>
            <w:vAlign w:val="bottom"/>
          </w:tcPr>
          <w:p w14:paraId="07F8E6A2" w14:textId="77777777"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r w:rsidRPr="002A43D5">
              <w:rPr>
                <w:rFonts w:ascii="Arial" w:hAnsi="Arial" w:cs="Arial"/>
                <w:color w:val="000000"/>
                <w:sz w:val="20"/>
                <w:szCs w:val="20"/>
              </w:rPr>
              <w:t>-</w:t>
            </w:r>
          </w:p>
        </w:tc>
      </w:tr>
      <w:tr w:rsidR="002D1783" w:rsidRPr="005C5D75" w14:paraId="3EB51B57" w14:textId="77777777" w:rsidTr="00AB1DC6">
        <w:trPr>
          <w:trHeight w:val="283"/>
        </w:trPr>
        <w:tc>
          <w:tcPr>
            <w:tcW w:w="3574" w:type="dxa"/>
            <w:tcBorders>
              <w:left w:val="nil"/>
              <w:bottom w:val="single" w:sz="6" w:space="0" w:color="auto"/>
              <w:right w:val="nil"/>
            </w:tcBorders>
            <w:vAlign w:val="bottom"/>
          </w:tcPr>
          <w:p w14:paraId="15659318" w14:textId="77777777" w:rsidR="002D1783" w:rsidRPr="002A43D5" w:rsidRDefault="002D1783" w:rsidP="002D1783">
            <w:pPr>
              <w:autoSpaceDE w:val="0"/>
              <w:autoSpaceDN w:val="0"/>
              <w:adjustRightInd w:val="0"/>
              <w:spacing w:after="0" w:line="0" w:lineRule="atLeast"/>
              <w:rPr>
                <w:rFonts w:ascii="Arial" w:hAnsi="Arial" w:cs="Arial"/>
                <w:color w:val="000000"/>
                <w:sz w:val="20"/>
                <w:szCs w:val="20"/>
              </w:rPr>
            </w:pPr>
            <w:r w:rsidRPr="002A43D5">
              <w:rPr>
                <w:rFonts w:ascii="Arial" w:hAnsi="Arial" w:cs="Arial"/>
                <w:color w:val="000000"/>
                <w:sz w:val="20"/>
                <w:szCs w:val="20"/>
              </w:rPr>
              <w:t>Weighted average fully diluted number of shares in issue</w:t>
            </w:r>
          </w:p>
        </w:tc>
        <w:tc>
          <w:tcPr>
            <w:tcW w:w="3118" w:type="dxa"/>
            <w:tcBorders>
              <w:left w:val="nil"/>
              <w:bottom w:val="single" w:sz="6" w:space="0" w:color="auto"/>
              <w:right w:val="nil"/>
            </w:tcBorders>
            <w:vAlign w:val="bottom"/>
          </w:tcPr>
          <w:p w14:paraId="74C8AC4C" w14:textId="77777777" w:rsidR="002D1783" w:rsidRPr="002A43D5" w:rsidRDefault="002D1783" w:rsidP="002D1783">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96,418,045</w:t>
            </w:r>
          </w:p>
        </w:tc>
        <w:tc>
          <w:tcPr>
            <w:tcW w:w="3119" w:type="dxa"/>
            <w:tcBorders>
              <w:left w:val="nil"/>
              <w:bottom w:val="single" w:sz="6" w:space="0" w:color="auto"/>
              <w:right w:val="nil"/>
            </w:tcBorders>
            <w:vAlign w:val="bottom"/>
          </w:tcPr>
          <w:p w14:paraId="5186E2BC" w14:textId="77777777" w:rsidR="002D1783" w:rsidRPr="002A43D5" w:rsidRDefault="002D1783" w:rsidP="002D1783">
            <w:pPr>
              <w:autoSpaceDE w:val="0"/>
              <w:autoSpaceDN w:val="0"/>
              <w:adjustRightInd w:val="0"/>
              <w:spacing w:after="0" w:line="0" w:lineRule="atLeast"/>
              <w:jc w:val="right"/>
              <w:rPr>
                <w:rFonts w:ascii="Arial" w:hAnsi="Arial" w:cs="Arial"/>
                <w:color w:val="000000"/>
                <w:sz w:val="20"/>
                <w:szCs w:val="20"/>
              </w:rPr>
            </w:pPr>
            <w:r w:rsidRPr="002A43D5">
              <w:rPr>
                <w:rFonts w:ascii="Arial" w:hAnsi="Arial" w:cs="Arial"/>
                <w:color w:val="000000"/>
                <w:sz w:val="20"/>
                <w:szCs w:val="20"/>
              </w:rPr>
              <w:t>95,868,871</w:t>
            </w:r>
          </w:p>
        </w:tc>
      </w:tr>
    </w:tbl>
    <w:p w14:paraId="44E6B8AA" w14:textId="77777777" w:rsidR="008C676E" w:rsidRDefault="008C676E" w:rsidP="008C676E">
      <w:pPr>
        <w:spacing w:after="0" w:line="240" w:lineRule="auto"/>
        <w:jc w:val="both"/>
        <w:rPr>
          <w:rFonts w:ascii="Arial" w:eastAsia="Times New Roman" w:hAnsi="Arial" w:cs="Arial"/>
          <w:i/>
          <w:iCs/>
          <w:color w:val="000000"/>
          <w:sz w:val="20"/>
          <w:szCs w:val="20"/>
          <w:highlight w:val="yellow"/>
          <w:lang w:eastAsia="en-GB"/>
        </w:rPr>
      </w:pPr>
    </w:p>
    <w:p w14:paraId="6247265A" w14:textId="77777777" w:rsidR="008C676E" w:rsidRDefault="008C676E" w:rsidP="008C676E">
      <w:pPr>
        <w:spacing w:after="0" w:line="240" w:lineRule="auto"/>
        <w:jc w:val="both"/>
        <w:rPr>
          <w:rFonts w:ascii="Arial" w:eastAsia="Times New Roman" w:hAnsi="Arial" w:cs="Arial"/>
          <w:color w:val="000000"/>
          <w:sz w:val="20"/>
          <w:szCs w:val="20"/>
          <w:lang w:eastAsia="en-GB"/>
        </w:rPr>
      </w:pPr>
      <w:r w:rsidRPr="00A43702">
        <w:rPr>
          <w:rFonts w:ascii="Arial" w:eastAsia="Times New Roman" w:hAnsi="Arial" w:cs="Arial"/>
          <w:color w:val="000000"/>
          <w:sz w:val="20"/>
          <w:szCs w:val="20"/>
          <w:lang w:eastAsia="en-GB"/>
        </w:rPr>
        <w:t xml:space="preserve">As </w:t>
      </w:r>
      <w:proofErr w:type="gramStart"/>
      <w:r w:rsidRPr="00A43702">
        <w:rPr>
          <w:rFonts w:ascii="Arial" w:eastAsia="Times New Roman" w:hAnsi="Arial" w:cs="Arial"/>
          <w:color w:val="000000"/>
          <w:sz w:val="20"/>
          <w:szCs w:val="20"/>
          <w:lang w:eastAsia="en-GB"/>
        </w:rPr>
        <w:t>at</w:t>
      </w:r>
      <w:proofErr w:type="gramEnd"/>
      <w:r w:rsidRPr="00A43702">
        <w:rPr>
          <w:rFonts w:ascii="Arial" w:eastAsia="Times New Roman" w:hAnsi="Arial" w:cs="Arial"/>
          <w:color w:val="000000"/>
          <w:sz w:val="20"/>
          <w:szCs w:val="20"/>
          <w:lang w:eastAsia="en-GB"/>
        </w:rPr>
        <w:t xml:space="preserve"> 31 March 2024, </w:t>
      </w:r>
      <w:r>
        <w:rPr>
          <w:rFonts w:ascii="Arial" w:eastAsia="Times New Roman" w:hAnsi="Arial" w:cs="Arial"/>
          <w:color w:val="000000"/>
          <w:sz w:val="20"/>
          <w:szCs w:val="20"/>
          <w:lang w:eastAsia="en-GB"/>
        </w:rPr>
        <w:t>579,564</w:t>
      </w:r>
      <w:r w:rsidRPr="00A43702">
        <w:rPr>
          <w:rFonts w:ascii="Arial" w:eastAsia="Times New Roman" w:hAnsi="Arial" w:cs="Arial"/>
          <w:color w:val="000000"/>
          <w:sz w:val="20"/>
          <w:szCs w:val="20"/>
          <w:lang w:eastAsia="en-GB"/>
        </w:rPr>
        <w:t xml:space="preserve"> options (2023: 1,291,637) were excluded from the diluted </w:t>
      </w:r>
      <w:r w:rsidRPr="00091C24">
        <w:rPr>
          <w:rFonts w:ascii="Arial" w:eastAsia="Times New Roman" w:hAnsi="Arial" w:cs="Arial"/>
          <w:color w:val="000000"/>
          <w:sz w:val="20"/>
          <w:szCs w:val="20"/>
          <w:lang w:eastAsia="en-GB"/>
        </w:rPr>
        <w:t>weighted</w:t>
      </w:r>
      <w:r w:rsidRPr="00A43702">
        <w:rPr>
          <w:rFonts w:ascii="Arial" w:eastAsia="Times New Roman" w:hAnsi="Arial" w:cs="Arial"/>
          <w:color w:val="000000"/>
          <w:sz w:val="20"/>
          <w:szCs w:val="20"/>
          <w:lang w:eastAsia="en-GB"/>
        </w:rPr>
        <w:t>-</w:t>
      </w:r>
      <w:r w:rsidRPr="00091C24">
        <w:rPr>
          <w:rFonts w:ascii="Arial" w:eastAsia="Times New Roman" w:hAnsi="Arial" w:cs="Arial"/>
          <w:color w:val="000000"/>
          <w:sz w:val="20"/>
          <w:szCs w:val="20"/>
          <w:lang w:eastAsia="en-GB"/>
        </w:rPr>
        <w:t>average</w:t>
      </w:r>
      <w:r w:rsidRPr="00A43702">
        <w:rPr>
          <w:rFonts w:ascii="Arial" w:eastAsia="Times New Roman" w:hAnsi="Arial" w:cs="Arial"/>
          <w:color w:val="000000"/>
          <w:sz w:val="20"/>
          <w:szCs w:val="20"/>
          <w:lang w:eastAsia="en-GB"/>
        </w:rPr>
        <w:t xml:space="preserve"> number of ordinary shares calculation for the continuing operations because their effect would have been anti-dilutive.</w:t>
      </w:r>
    </w:p>
    <w:p w14:paraId="0E3F66A1" w14:textId="77777777" w:rsidR="008C676E" w:rsidRDefault="008C676E" w:rsidP="008C676E">
      <w:pPr>
        <w:spacing w:after="0" w:line="240" w:lineRule="auto"/>
        <w:jc w:val="both"/>
        <w:rPr>
          <w:rFonts w:ascii="Arial" w:eastAsia="Times New Roman" w:hAnsi="Arial" w:cs="Arial"/>
          <w:i/>
          <w:iCs/>
          <w:color w:val="000000"/>
          <w:sz w:val="20"/>
          <w:szCs w:val="20"/>
          <w:highlight w:val="yellow"/>
          <w:lang w:eastAsia="en-GB"/>
        </w:rPr>
      </w:pPr>
    </w:p>
    <w:p w14:paraId="3150EC15" w14:textId="77777777" w:rsidR="008C676E" w:rsidRPr="00B72BF4" w:rsidRDefault="008C676E" w:rsidP="008C676E">
      <w:pPr>
        <w:spacing w:after="0" w:line="240" w:lineRule="auto"/>
        <w:jc w:val="both"/>
        <w:rPr>
          <w:rFonts w:ascii="Arial" w:eastAsia="Times New Roman" w:hAnsi="Arial" w:cs="Arial"/>
          <w:i/>
          <w:iCs/>
          <w:color w:val="4C4C4E"/>
          <w:sz w:val="20"/>
          <w:szCs w:val="20"/>
          <w:lang w:eastAsia="en-GB"/>
        </w:rPr>
      </w:pPr>
      <w:r w:rsidRPr="00B72BF4">
        <w:rPr>
          <w:rFonts w:ascii="Arial" w:eastAsia="Times New Roman" w:hAnsi="Arial" w:cs="Arial"/>
          <w:i/>
          <w:iCs/>
          <w:color w:val="000000"/>
          <w:sz w:val="20"/>
          <w:szCs w:val="20"/>
          <w:lang w:eastAsia="en-GB"/>
        </w:rPr>
        <w:t>Adjusted earnings per share</w:t>
      </w:r>
    </w:p>
    <w:p w14:paraId="4F689B23" w14:textId="462DCE90" w:rsidR="0051500E" w:rsidRDefault="008C676E" w:rsidP="008C676E">
      <w:pPr>
        <w:spacing w:after="0" w:line="240" w:lineRule="auto"/>
        <w:jc w:val="both"/>
        <w:rPr>
          <w:rFonts w:ascii="Arial" w:eastAsia="Times New Roman" w:hAnsi="Arial" w:cs="Arial"/>
          <w:color w:val="000000"/>
          <w:sz w:val="20"/>
          <w:szCs w:val="20"/>
          <w:lang w:eastAsia="en-GB"/>
        </w:rPr>
      </w:pPr>
      <w:r w:rsidRPr="00B72BF4">
        <w:rPr>
          <w:rFonts w:ascii="Arial" w:eastAsia="Times New Roman" w:hAnsi="Arial" w:cs="Arial"/>
          <w:color w:val="000000"/>
          <w:sz w:val="20"/>
          <w:szCs w:val="20"/>
          <w:lang w:eastAsia="en-GB"/>
        </w:rPr>
        <w:t>The Directors believe that the adjusted earnings per share provide a more appropriate representation of the underlying earnings derived from the Group's business. The adjusting items are shown in the table below</w:t>
      </w:r>
      <w:r w:rsidR="0051500E">
        <w:rPr>
          <w:rFonts w:ascii="Arial" w:eastAsia="Times New Roman" w:hAnsi="Arial" w:cs="Arial"/>
          <w:color w:val="000000"/>
          <w:sz w:val="20"/>
          <w:szCs w:val="20"/>
          <w:lang w:eastAsia="en-GB"/>
        </w:rPr>
        <w:t>:</w:t>
      </w:r>
    </w:p>
    <w:p w14:paraId="237093FB" w14:textId="77777777" w:rsidR="0051500E" w:rsidRDefault="0051500E" w:rsidP="008C676E">
      <w:pPr>
        <w:spacing w:after="0" w:line="240" w:lineRule="auto"/>
        <w:jc w:val="both"/>
        <w:rPr>
          <w:rFonts w:ascii="Arial" w:eastAsia="Times New Roman" w:hAnsi="Arial" w:cs="Arial"/>
          <w:color w:val="000000"/>
          <w:sz w:val="20"/>
          <w:szCs w:val="20"/>
          <w:lang w:eastAsia="en-GB"/>
        </w:rPr>
      </w:pPr>
    </w:p>
    <w:p w14:paraId="087DA0F2" w14:textId="4289FB37" w:rsidR="008C676E" w:rsidRDefault="008C676E" w:rsidP="008C676E">
      <w:pPr>
        <w:spacing w:after="0" w:line="240" w:lineRule="auto"/>
        <w:jc w:val="both"/>
        <w:rPr>
          <w:rFonts w:ascii="Arial" w:eastAsia="Times New Roman" w:hAnsi="Arial" w:cs="Arial"/>
          <w:color w:val="000000"/>
          <w:sz w:val="20"/>
          <w:szCs w:val="20"/>
          <w:lang w:eastAsia="en-GB"/>
        </w:rPr>
      </w:pPr>
    </w:p>
    <w:p w14:paraId="56942A0C" w14:textId="77777777" w:rsidR="008C676E" w:rsidRPr="004D7811" w:rsidRDefault="008C676E" w:rsidP="008C676E">
      <w:pPr>
        <w:spacing w:after="0" w:line="240" w:lineRule="auto"/>
        <w:jc w:val="both"/>
        <w:rPr>
          <w:rFonts w:ascii="Arial" w:eastAsia="Times New Roman" w:hAnsi="Arial" w:cs="Arial"/>
          <w:color w:val="4C4C4E"/>
          <w:sz w:val="20"/>
          <w:szCs w:val="20"/>
          <w:highlight w:val="yellow"/>
          <w:lang w:eastAsia="en-GB"/>
        </w:rPr>
      </w:pPr>
    </w:p>
    <w:tbl>
      <w:tblPr>
        <w:tblW w:w="9811" w:type="dxa"/>
        <w:tblInd w:w="-30" w:type="dxa"/>
        <w:tblLayout w:type="fixed"/>
        <w:tblLook w:val="0000" w:firstRow="0" w:lastRow="0" w:firstColumn="0" w:lastColumn="0" w:noHBand="0" w:noVBand="0"/>
      </w:tblPr>
      <w:tblGrid>
        <w:gridCol w:w="3628"/>
        <w:gridCol w:w="3091"/>
        <w:gridCol w:w="3092"/>
      </w:tblGrid>
      <w:tr w:rsidR="008C676E" w:rsidRPr="004D7811" w14:paraId="5F8D269C" w14:textId="77777777" w:rsidTr="00AB1DC6">
        <w:trPr>
          <w:trHeight w:val="283"/>
        </w:trPr>
        <w:tc>
          <w:tcPr>
            <w:tcW w:w="3628" w:type="dxa"/>
            <w:tcBorders>
              <w:top w:val="nil"/>
              <w:left w:val="nil"/>
              <w:bottom w:val="nil"/>
              <w:right w:val="nil"/>
            </w:tcBorders>
            <w:vAlign w:val="bottom"/>
          </w:tcPr>
          <w:p w14:paraId="0D1DE8CD" w14:textId="77777777" w:rsidR="008C676E" w:rsidRPr="004D7811" w:rsidRDefault="008C676E" w:rsidP="00AB1DC6">
            <w:pPr>
              <w:autoSpaceDE w:val="0"/>
              <w:autoSpaceDN w:val="0"/>
              <w:adjustRightInd w:val="0"/>
              <w:spacing w:after="0" w:line="0" w:lineRule="atLeast"/>
              <w:jc w:val="right"/>
              <w:rPr>
                <w:rFonts w:ascii="Arial" w:hAnsi="Arial" w:cs="Arial"/>
                <w:color w:val="000000"/>
                <w:sz w:val="20"/>
                <w:szCs w:val="20"/>
                <w:highlight w:val="yellow"/>
              </w:rPr>
            </w:pPr>
          </w:p>
        </w:tc>
        <w:tc>
          <w:tcPr>
            <w:tcW w:w="3091" w:type="dxa"/>
            <w:tcBorders>
              <w:left w:val="nil"/>
              <w:bottom w:val="nil"/>
              <w:right w:val="nil"/>
            </w:tcBorders>
            <w:vAlign w:val="bottom"/>
          </w:tcPr>
          <w:p w14:paraId="4F78BD2A" w14:textId="77777777" w:rsidR="008C676E" w:rsidRDefault="008C676E" w:rsidP="00AB1DC6">
            <w:pPr>
              <w:autoSpaceDE w:val="0"/>
              <w:autoSpaceDN w:val="0"/>
              <w:adjustRightInd w:val="0"/>
              <w:spacing w:after="0" w:line="0" w:lineRule="atLeast"/>
              <w:jc w:val="right"/>
              <w:rPr>
                <w:rFonts w:ascii="Arial" w:hAnsi="Arial" w:cs="Arial"/>
                <w:b/>
                <w:bCs/>
                <w:color w:val="000000"/>
                <w:sz w:val="20"/>
                <w:szCs w:val="20"/>
              </w:rPr>
            </w:pPr>
            <w:r w:rsidRPr="00022DB4">
              <w:rPr>
                <w:rFonts w:ascii="Arial" w:hAnsi="Arial" w:cs="Arial"/>
                <w:b/>
                <w:bCs/>
                <w:color w:val="000000"/>
                <w:sz w:val="20"/>
                <w:szCs w:val="20"/>
              </w:rPr>
              <w:t>2024</w:t>
            </w:r>
          </w:p>
          <w:p w14:paraId="65FDD30A" w14:textId="77777777" w:rsidR="008C676E" w:rsidRPr="00022DB4"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£’m</w:t>
            </w:r>
          </w:p>
        </w:tc>
        <w:tc>
          <w:tcPr>
            <w:tcW w:w="3092" w:type="dxa"/>
            <w:tcBorders>
              <w:left w:val="nil"/>
              <w:bottom w:val="nil"/>
              <w:right w:val="nil"/>
            </w:tcBorders>
            <w:vAlign w:val="bottom"/>
          </w:tcPr>
          <w:p w14:paraId="55961E38" w14:textId="77777777" w:rsidR="008C676E" w:rsidRDefault="008C676E" w:rsidP="00AB1DC6">
            <w:pPr>
              <w:autoSpaceDE w:val="0"/>
              <w:autoSpaceDN w:val="0"/>
              <w:adjustRightInd w:val="0"/>
              <w:spacing w:after="0" w:line="0" w:lineRule="atLeast"/>
              <w:jc w:val="right"/>
              <w:rPr>
                <w:rFonts w:ascii="Arial" w:hAnsi="Arial" w:cs="Arial"/>
                <w:b/>
                <w:bCs/>
                <w:color w:val="000000"/>
                <w:sz w:val="20"/>
                <w:szCs w:val="20"/>
              </w:rPr>
            </w:pPr>
          </w:p>
          <w:p w14:paraId="7B122049" w14:textId="77777777" w:rsidR="008C676E" w:rsidRDefault="008C676E" w:rsidP="00AB1DC6">
            <w:pPr>
              <w:autoSpaceDE w:val="0"/>
              <w:autoSpaceDN w:val="0"/>
              <w:adjustRightInd w:val="0"/>
              <w:spacing w:after="0" w:line="0" w:lineRule="atLeast"/>
              <w:jc w:val="right"/>
              <w:rPr>
                <w:rFonts w:ascii="Arial" w:hAnsi="Arial" w:cs="Arial"/>
                <w:b/>
                <w:bCs/>
                <w:color w:val="000000"/>
                <w:sz w:val="20"/>
                <w:szCs w:val="20"/>
              </w:rPr>
            </w:pPr>
            <w:r w:rsidRPr="00022DB4">
              <w:rPr>
                <w:rFonts w:ascii="Arial" w:hAnsi="Arial" w:cs="Arial"/>
                <w:b/>
                <w:bCs/>
                <w:color w:val="000000"/>
                <w:sz w:val="20"/>
                <w:szCs w:val="20"/>
              </w:rPr>
              <w:t>2023</w:t>
            </w:r>
          </w:p>
          <w:p w14:paraId="016D777A" w14:textId="77777777" w:rsidR="008C676E" w:rsidRPr="00022DB4"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£’m</w:t>
            </w:r>
          </w:p>
        </w:tc>
      </w:tr>
      <w:tr w:rsidR="008C676E" w:rsidRPr="004D7811" w14:paraId="2389B0E4" w14:textId="77777777" w:rsidTr="00AB1DC6">
        <w:trPr>
          <w:trHeight w:val="283"/>
        </w:trPr>
        <w:tc>
          <w:tcPr>
            <w:tcW w:w="3628" w:type="dxa"/>
            <w:tcBorders>
              <w:top w:val="single" w:sz="6" w:space="0" w:color="auto"/>
              <w:left w:val="nil"/>
              <w:right w:val="nil"/>
            </w:tcBorders>
            <w:vAlign w:val="center"/>
          </w:tcPr>
          <w:p w14:paraId="450F1DB7" w14:textId="4277392F" w:rsidR="008C676E" w:rsidRPr="00387ED1" w:rsidRDefault="008C676E" w:rsidP="00AB1DC6">
            <w:pPr>
              <w:autoSpaceDE w:val="0"/>
              <w:autoSpaceDN w:val="0"/>
              <w:adjustRightInd w:val="0"/>
              <w:spacing w:after="0" w:line="0" w:lineRule="atLeast"/>
              <w:rPr>
                <w:rFonts w:ascii="Arial" w:hAnsi="Arial" w:cs="Arial"/>
                <w:color w:val="000000"/>
                <w:sz w:val="20"/>
                <w:szCs w:val="20"/>
              </w:rPr>
            </w:pPr>
            <w:r w:rsidRPr="00B72BF4">
              <w:rPr>
                <w:rFonts w:ascii="Arial" w:eastAsia="Times New Roman" w:hAnsi="Arial" w:cs="Arial"/>
                <w:color w:val="000000"/>
                <w:sz w:val="20"/>
                <w:szCs w:val="20"/>
                <w:lang w:eastAsia="en-GB"/>
              </w:rPr>
              <w:t>(Loss)</w:t>
            </w:r>
            <w:r w:rsidR="007D74AB">
              <w:rPr>
                <w:rFonts w:ascii="Arial" w:eastAsia="Times New Roman" w:hAnsi="Arial" w:cs="Arial"/>
                <w:color w:val="000000"/>
                <w:sz w:val="20"/>
                <w:szCs w:val="20"/>
                <w:lang w:eastAsia="en-GB"/>
              </w:rPr>
              <w:t xml:space="preserve"> </w:t>
            </w:r>
            <w:r w:rsidRPr="00B72BF4">
              <w:rPr>
                <w:rFonts w:ascii="Arial" w:eastAsia="Times New Roman" w:hAnsi="Arial" w:cs="Arial"/>
                <w:color w:val="000000"/>
                <w:sz w:val="20"/>
                <w:szCs w:val="20"/>
                <w:lang w:eastAsia="en-GB"/>
              </w:rPr>
              <w:t>before tax for the period</w:t>
            </w:r>
          </w:p>
        </w:tc>
        <w:tc>
          <w:tcPr>
            <w:tcW w:w="3091" w:type="dxa"/>
            <w:tcBorders>
              <w:top w:val="single" w:sz="6" w:space="0" w:color="auto"/>
              <w:left w:val="nil"/>
              <w:right w:val="nil"/>
            </w:tcBorders>
            <w:vAlign w:val="bottom"/>
          </w:tcPr>
          <w:p w14:paraId="6FF3E220"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(10.9)</w:t>
            </w:r>
          </w:p>
        </w:tc>
        <w:tc>
          <w:tcPr>
            <w:tcW w:w="3092" w:type="dxa"/>
            <w:tcBorders>
              <w:top w:val="single" w:sz="6" w:space="0" w:color="auto"/>
              <w:left w:val="nil"/>
              <w:right w:val="nil"/>
            </w:tcBorders>
            <w:vAlign w:val="bottom"/>
          </w:tcPr>
          <w:p w14:paraId="7A36CDFF" w14:textId="77777777" w:rsidR="008C676E" w:rsidRPr="00C6782F"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(6.9)</w:t>
            </w:r>
          </w:p>
        </w:tc>
      </w:tr>
      <w:tr w:rsidR="008C676E" w:rsidRPr="004D7811" w14:paraId="77F47597" w14:textId="77777777" w:rsidTr="00AB1DC6">
        <w:trPr>
          <w:trHeight w:val="283"/>
        </w:trPr>
        <w:tc>
          <w:tcPr>
            <w:tcW w:w="3628" w:type="dxa"/>
            <w:tcBorders>
              <w:left w:val="nil"/>
              <w:right w:val="nil"/>
            </w:tcBorders>
            <w:vAlign w:val="center"/>
          </w:tcPr>
          <w:p w14:paraId="7453DB0A" w14:textId="77777777" w:rsidR="008C676E" w:rsidRPr="00387ED1" w:rsidRDefault="008C676E" w:rsidP="00AB1DC6">
            <w:pPr>
              <w:autoSpaceDE w:val="0"/>
              <w:autoSpaceDN w:val="0"/>
              <w:adjustRightInd w:val="0"/>
              <w:spacing w:after="0" w:line="0" w:lineRule="atLeast"/>
              <w:rPr>
                <w:rFonts w:ascii="Arial" w:hAnsi="Arial" w:cs="Arial"/>
                <w:color w:val="000000"/>
                <w:sz w:val="20"/>
                <w:szCs w:val="20"/>
              </w:rPr>
            </w:pPr>
            <w:r w:rsidRPr="00B72BF4">
              <w:rPr>
                <w:rFonts w:ascii="Arial" w:eastAsia="Times New Roman" w:hAnsi="Arial" w:cs="Arial"/>
                <w:color w:val="000000"/>
                <w:sz w:val="20"/>
                <w:szCs w:val="20"/>
                <w:lang w:eastAsia="en-GB"/>
              </w:rPr>
              <w:t>Adjustments:</w:t>
            </w:r>
          </w:p>
        </w:tc>
        <w:tc>
          <w:tcPr>
            <w:tcW w:w="3091" w:type="dxa"/>
            <w:tcBorders>
              <w:left w:val="nil"/>
              <w:right w:val="nil"/>
            </w:tcBorders>
            <w:vAlign w:val="bottom"/>
          </w:tcPr>
          <w:p w14:paraId="50070206"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3092" w:type="dxa"/>
            <w:tcBorders>
              <w:left w:val="nil"/>
              <w:right w:val="nil"/>
            </w:tcBorders>
            <w:vAlign w:val="bottom"/>
          </w:tcPr>
          <w:p w14:paraId="37E56F88" w14:textId="77777777" w:rsidR="008C676E" w:rsidRPr="00C6782F"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2D2C4A7F" w14:textId="77777777" w:rsidTr="00AB1DC6">
        <w:trPr>
          <w:trHeight w:val="283"/>
        </w:trPr>
        <w:tc>
          <w:tcPr>
            <w:tcW w:w="3628" w:type="dxa"/>
            <w:tcBorders>
              <w:top w:val="nil"/>
              <w:left w:val="nil"/>
              <w:bottom w:val="nil"/>
              <w:right w:val="nil"/>
            </w:tcBorders>
            <w:vAlign w:val="center"/>
          </w:tcPr>
          <w:p w14:paraId="7850231B" w14:textId="77777777" w:rsidR="008C676E" w:rsidRPr="000606B5" w:rsidRDefault="008C676E" w:rsidP="00AB1DC6">
            <w:pPr>
              <w:autoSpaceDE w:val="0"/>
              <w:autoSpaceDN w:val="0"/>
              <w:adjustRightInd w:val="0"/>
              <w:spacing w:after="0" w:line="0" w:lineRule="atLeast"/>
              <w:rPr>
                <w:rFonts w:ascii="Arial" w:hAnsi="Arial" w:cs="Arial"/>
                <w:color w:val="000000"/>
                <w:sz w:val="20"/>
                <w:szCs w:val="20"/>
              </w:rPr>
            </w:pPr>
            <w:r w:rsidRPr="00030523">
              <w:rPr>
                <w:rFonts w:ascii="Arial" w:eastAsia="Times New Roman" w:hAnsi="Arial" w:cs="Arial"/>
                <w:color w:val="000000"/>
                <w:sz w:val="20"/>
                <w:szCs w:val="20"/>
                <w:lang w:eastAsia="en-GB"/>
              </w:rPr>
              <w:t>Acquisition and disposal costs (including strategic review costs)</w:t>
            </w:r>
          </w:p>
        </w:tc>
        <w:tc>
          <w:tcPr>
            <w:tcW w:w="3091" w:type="dxa"/>
            <w:tcBorders>
              <w:top w:val="nil"/>
              <w:left w:val="nil"/>
              <w:bottom w:val="nil"/>
              <w:right w:val="nil"/>
            </w:tcBorders>
            <w:vAlign w:val="bottom"/>
          </w:tcPr>
          <w:p w14:paraId="355FA963"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7.8</w:t>
            </w:r>
          </w:p>
        </w:tc>
        <w:tc>
          <w:tcPr>
            <w:tcW w:w="3092" w:type="dxa"/>
            <w:tcBorders>
              <w:top w:val="nil"/>
              <w:left w:val="nil"/>
              <w:bottom w:val="nil"/>
              <w:right w:val="nil"/>
            </w:tcBorders>
            <w:vAlign w:val="bottom"/>
          </w:tcPr>
          <w:p w14:paraId="31F20811" w14:textId="77777777" w:rsidR="008C676E" w:rsidRPr="00C6782F"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2.7</w:t>
            </w:r>
          </w:p>
        </w:tc>
      </w:tr>
      <w:tr w:rsidR="008C676E" w:rsidRPr="004D7811" w14:paraId="3FDC119F" w14:textId="77777777" w:rsidTr="00AB1DC6">
        <w:trPr>
          <w:trHeight w:val="283"/>
        </w:trPr>
        <w:tc>
          <w:tcPr>
            <w:tcW w:w="3628" w:type="dxa"/>
            <w:tcBorders>
              <w:top w:val="nil"/>
              <w:left w:val="nil"/>
              <w:bottom w:val="nil"/>
              <w:right w:val="nil"/>
            </w:tcBorders>
            <w:vAlign w:val="center"/>
          </w:tcPr>
          <w:p w14:paraId="1732A735" w14:textId="77777777" w:rsidR="008C676E" w:rsidRPr="002A43D5" w:rsidRDefault="008C676E" w:rsidP="00AB1DC6">
            <w:pPr>
              <w:autoSpaceDE w:val="0"/>
              <w:autoSpaceDN w:val="0"/>
              <w:adjustRightInd w:val="0"/>
              <w:spacing w:after="0" w:line="0" w:lineRule="atLeast"/>
              <w:rPr>
                <w:rFonts w:ascii="Arial" w:hAnsi="Arial" w:cs="Arial"/>
                <w:color w:val="000000"/>
                <w:sz w:val="20"/>
                <w:szCs w:val="20"/>
              </w:rPr>
            </w:pPr>
            <w:r w:rsidRPr="002A43D5">
              <w:rPr>
                <w:rFonts w:ascii="Arial" w:eastAsia="Times New Roman" w:hAnsi="Arial" w:cs="Arial"/>
                <w:color w:val="000000"/>
                <w:sz w:val="20"/>
                <w:szCs w:val="20"/>
                <w:lang w:eastAsia="en-GB"/>
              </w:rPr>
              <w:t>Restructuring costs</w:t>
            </w:r>
          </w:p>
        </w:tc>
        <w:tc>
          <w:tcPr>
            <w:tcW w:w="3091" w:type="dxa"/>
            <w:tcBorders>
              <w:top w:val="nil"/>
              <w:left w:val="nil"/>
              <w:bottom w:val="nil"/>
              <w:right w:val="nil"/>
            </w:tcBorders>
            <w:vAlign w:val="bottom"/>
          </w:tcPr>
          <w:p w14:paraId="0D455128" w14:textId="77777777" w:rsidR="008C676E" w:rsidRPr="002A43D5" w:rsidRDefault="008C676E" w:rsidP="00AB1DC6">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18.2</w:t>
            </w:r>
          </w:p>
        </w:tc>
        <w:tc>
          <w:tcPr>
            <w:tcW w:w="3092" w:type="dxa"/>
            <w:tcBorders>
              <w:top w:val="nil"/>
              <w:left w:val="nil"/>
              <w:bottom w:val="nil"/>
              <w:right w:val="nil"/>
            </w:tcBorders>
            <w:vAlign w:val="bottom"/>
          </w:tcPr>
          <w:p w14:paraId="37472826" w14:textId="77777777" w:rsidR="008C676E" w:rsidRPr="002A43D5" w:rsidRDefault="008C676E" w:rsidP="00AB1DC6">
            <w:pPr>
              <w:autoSpaceDE w:val="0"/>
              <w:autoSpaceDN w:val="0"/>
              <w:adjustRightInd w:val="0"/>
              <w:spacing w:after="0" w:line="0" w:lineRule="atLeast"/>
              <w:jc w:val="right"/>
              <w:rPr>
                <w:rFonts w:ascii="Arial" w:hAnsi="Arial" w:cs="Arial"/>
                <w:color w:val="000000"/>
                <w:sz w:val="20"/>
                <w:szCs w:val="20"/>
              </w:rPr>
            </w:pPr>
            <w:r w:rsidRPr="002A43D5">
              <w:rPr>
                <w:rFonts w:ascii="Arial" w:hAnsi="Arial" w:cs="Arial"/>
                <w:color w:val="000000"/>
                <w:sz w:val="20"/>
                <w:szCs w:val="20"/>
              </w:rPr>
              <w:t>21.1</w:t>
            </w:r>
          </w:p>
        </w:tc>
      </w:tr>
      <w:tr w:rsidR="008C676E" w:rsidRPr="004D7811" w14:paraId="5B16C42F" w14:textId="77777777" w:rsidTr="00AB1DC6">
        <w:trPr>
          <w:trHeight w:val="283"/>
        </w:trPr>
        <w:tc>
          <w:tcPr>
            <w:tcW w:w="3628" w:type="dxa"/>
            <w:tcBorders>
              <w:top w:val="nil"/>
              <w:left w:val="nil"/>
              <w:bottom w:val="nil"/>
              <w:right w:val="nil"/>
            </w:tcBorders>
            <w:vAlign w:val="center"/>
          </w:tcPr>
          <w:p w14:paraId="789CD61A" w14:textId="77777777" w:rsidR="008C676E" w:rsidRPr="002A43D5" w:rsidRDefault="008C676E" w:rsidP="00AB1DC6">
            <w:pPr>
              <w:autoSpaceDE w:val="0"/>
              <w:autoSpaceDN w:val="0"/>
              <w:adjustRightInd w:val="0"/>
              <w:spacing w:after="0" w:line="0" w:lineRule="atLeast"/>
              <w:rPr>
                <w:rFonts w:ascii="Arial" w:hAnsi="Arial" w:cs="Arial"/>
                <w:color w:val="000000"/>
                <w:sz w:val="20"/>
                <w:szCs w:val="20"/>
              </w:rPr>
            </w:pPr>
            <w:r w:rsidRPr="002A43D5">
              <w:rPr>
                <w:rFonts w:ascii="Arial" w:eastAsia="Times New Roman" w:hAnsi="Arial" w:cs="Arial"/>
                <w:color w:val="000000"/>
                <w:sz w:val="20"/>
                <w:szCs w:val="20"/>
                <w:lang w:eastAsia="en-GB"/>
              </w:rPr>
              <w:t>Amortisation of acquired intangibles</w:t>
            </w:r>
          </w:p>
        </w:tc>
        <w:tc>
          <w:tcPr>
            <w:tcW w:w="3091" w:type="dxa"/>
            <w:tcBorders>
              <w:top w:val="nil"/>
              <w:left w:val="nil"/>
              <w:bottom w:val="nil"/>
              <w:right w:val="nil"/>
            </w:tcBorders>
            <w:vAlign w:val="bottom"/>
          </w:tcPr>
          <w:p w14:paraId="33CE9F61" w14:textId="77777777" w:rsidR="008C676E" w:rsidRPr="002A43D5" w:rsidRDefault="008C676E" w:rsidP="00AB1DC6">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25.6</w:t>
            </w:r>
          </w:p>
        </w:tc>
        <w:tc>
          <w:tcPr>
            <w:tcW w:w="3092" w:type="dxa"/>
            <w:tcBorders>
              <w:top w:val="nil"/>
              <w:left w:val="nil"/>
              <w:bottom w:val="nil"/>
              <w:right w:val="nil"/>
            </w:tcBorders>
            <w:vAlign w:val="bottom"/>
          </w:tcPr>
          <w:p w14:paraId="18C51080" w14:textId="77777777" w:rsidR="008C676E" w:rsidRPr="002A43D5" w:rsidRDefault="008C676E" w:rsidP="00AB1DC6">
            <w:pPr>
              <w:autoSpaceDE w:val="0"/>
              <w:autoSpaceDN w:val="0"/>
              <w:adjustRightInd w:val="0"/>
              <w:spacing w:after="0" w:line="0" w:lineRule="atLeast"/>
              <w:jc w:val="right"/>
              <w:rPr>
                <w:rFonts w:ascii="Arial" w:hAnsi="Arial" w:cs="Arial"/>
                <w:color w:val="000000"/>
                <w:sz w:val="20"/>
                <w:szCs w:val="20"/>
              </w:rPr>
            </w:pPr>
            <w:r w:rsidRPr="002A43D5">
              <w:rPr>
                <w:rFonts w:ascii="Arial" w:hAnsi="Arial" w:cs="Arial"/>
                <w:color w:val="000000"/>
                <w:sz w:val="20"/>
                <w:szCs w:val="20"/>
              </w:rPr>
              <w:t>24.0</w:t>
            </w:r>
          </w:p>
        </w:tc>
      </w:tr>
      <w:tr w:rsidR="008C676E" w:rsidRPr="004D7811" w14:paraId="1663A08B" w14:textId="77777777" w:rsidTr="00AB1DC6">
        <w:trPr>
          <w:trHeight w:val="283"/>
        </w:trPr>
        <w:tc>
          <w:tcPr>
            <w:tcW w:w="3628" w:type="dxa"/>
            <w:tcBorders>
              <w:top w:val="nil"/>
              <w:left w:val="nil"/>
              <w:bottom w:val="nil"/>
              <w:right w:val="nil"/>
            </w:tcBorders>
            <w:vAlign w:val="center"/>
          </w:tcPr>
          <w:p w14:paraId="13711612" w14:textId="77777777" w:rsidR="008C676E" w:rsidRPr="002A43D5" w:rsidRDefault="008C676E" w:rsidP="00AB1DC6">
            <w:pPr>
              <w:autoSpaceDE w:val="0"/>
              <w:autoSpaceDN w:val="0"/>
              <w:adjustRightInd w:val="0"/>
              <w:spacing w:after="0" w:line="0" w:lineRule="atLeast"/>
              <w:rPr>
                <w:rFonts w:ascii="Arial" w:hAnsi="Arial" w:cs="Arial"/>
                <w:color w:val="000000"/>
                <w:sz w:val="20"/>
                <w:szCs w:val="20"/>
              </w:rPr>
            </w:pPr>
            <w:r w:rsidRPr="002A43D5">
              <w:rPr>
                <w:rFonts w:ascii="Arial" w:eastAsia="Times New Roman" w:hAnsi="Arial" w:cs="Arial"/>
                <w:color w:val="000000"/>
                <w:sz w:val="20"/>
                <w:szCs w:val="20"/>
                <w:lang w:eastAsia="en-GB"/>
              </w:rPr>
              <w:t>Share-based payments (excluding SAYE schemes)</w:t>
            </w:r>
          </w:p>
        </w:tc>
        <w:tc>
          <w:tcPr>
            <w:tcW w:w="3091" w:type="dxa"/>
            <w:tcBorders>
              <w:top w:val="nil"/>
              <w:left w:val="nil"/>
              <w:bottom w:val="nil"/>
              <w:right w:val="nil"/>
            </w:tcBorders>
            <w:vAlign w:val="bottom"/>
          </w:tcPr>
          <w:p w14:paraId="74685F97" w14:textId="77777777" w:rsidR="008C676E" w:rsidRPr="002A43D5" w:rsidRDefault="008C676E" w:rsidP="00AB1DC6">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(0.8)</w:t>
            </w:r>
          </w:p>
        </w:tc>
        <w:tc>
          <w:tcPr>
            <w:tcW w:w="3092" w:type="dxa"/>
            <w:tcBorders>
              <w:top w:val="nil"/>
              <w:left w:val="nil"/>
              <w:bottom w:val="nil"/>
              <w:right w:val="nil"/>
            </w:tcBorders>
            <w:vAlign w:val="bottom"/>
          </w:tcPr>
          <w:p w14:paraId="632826C1" w14:textId="77777777" w:rsidR="008C676E" w:rsidRPr="002A43D5" w:rsidRDefault="008C676E" w:rsidP="00AB1DC6">
            <w:pPr>
              <w:autoSpaceDE w:val="0"/>
              <w:autoSpaceDN w:val="0"/>
              <w:adjustRightInd w:val="0"/>
              <w:spacing w:after="0" w:line="0" w:lineRule="atLeast"/>
              <w:jc w:val="right"/>
              <w:rPr>
                <w:rFonts w:ascii="Arial" w:hAnsi="Arial" w:cs="Arial"/>
                <w:color w:val="000000"/>
                <w:sz w:val="20"/>
                <w:szCs w:val="20"/>
              </w:rPr>
            </w:pPr>
            <w:r w:rsidRPr="002A43D5">
              <w:rPr>
                <w:rFonts w:ascii="Arial" w:hAnsi="Arial" w:cs="Arial"/>
                <w:color w:val="000000"/>
                <w:sz w:val="20"/>
                <w:szCs w:val="20"/>
              </w:rPr>
              <w:t>1.7</w:t>
            </w:r>
          </w:p>
        </w:tc>
      </w:tr>
      <w:tr w:rsidR="008C676E" w:rsidRPr="004D7811" w14:paraId="2A349AE5" w14:textId="77777777" w:rsidTr="00AB1DC6">
        <w:trPr>
          <w:trHeight w:val="283"/>
        </w:trPr>
        <w:tc>
          <w:tcPr>
            <w:tcW w:w="3628" w:type="dxa"/>
            <w:tcBorders>
              <w:top w:val="nil"/>
              <w:left w:val="nil"/>
              <w:bottom w:val="nil"/>
              <w:right w:val="nil"/>
            </w:tcBorders>
            <w:vAlign w:val="center"/>
          </w:tcPr>
          <w:p w14:paraId="0712B397" w14:textId="77777777" w:rsidR="008C676E" w:rsidRPr="000606B5" w:rsidRDefault="008C676E" w:rsidP="00AB1DC6">
            <w:pPr>
              <w:autoSpaceDE w:val="0"/>
              <w:autoSpaceDN w:val="0"/>
              <w:adjustRightInd w:val="0"/>
              <w:spacing w:after="0" w:line="0" w:lineRule="atLeast"/>
              <w:rPr>
                <w:rFonts w:ascii="Arial" w:hAnsi="Arial" w:cs="Arial"/>
                <w:color w:val="000000"/>
                <w:sz w:val="20"/>
                <w:szCs w:val="20"/>
              </w:rPr>
            </w:pPr>
            <w:r w:rsidRPr="00B72BF4">
              <w:rPr>
                <w:rFonts w:ascii="Arial" w:eastAsia="Times New Roman" w:hAnsi="Arial" w:cs="Arial"/>
                <w:color w:val="000000"/>
                <w:sz w:val="20"/>
                <w:szCs w:val="20"/>
                <w:lang w:eastAsia="en-GB"/>
              </w:rPr>
              <w:t>Fair value losses in contingent consideration and acquisition related incentive schemes</w:t>
            </w:r>
          </w:p>
        </w:tc>
        <w:tc>
          <w:tcPr>
            <w:tcW w:w="3091" w:type="dxa"/>
            <w:tcBorders>
              <w:top w:val="nil"/>
              <w:left w:val="nil"/>
              <w:bottom w:val="nil"/>
              <w:right w:val="nil"/>
            </w:tcBorders>
            <w:vAlign w:val="bottom"/>
          </w:tcPr>
          <w:p w14:paraId="73805915"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5.0</w:t>
            </w:r>
          </w:p>
        </w:tc>
        <w:tc>
          <w:tcPr>
            <w:tcW w:w="3092" w:type="dxa"/>
            <w:tcBorders>
              <w:top w:val="nil"/>
              <w:left w:val="nil"/>
              <w:bottom w:val="nil"/>
              <w:right w:val="nil"/>
            </w:tcBorders>
            <w:vAlign w:val="bottom"/>
          </w:tcPr>
          <w:p w14:paraId="1DE6616F" w14:textId="77777777" w:rsidR="008C676E" w:rsidRPr="00C6782F"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8.4</w:t>
            </w:r>
          </w:p>
        </w:tc>
      </w:tr>
      <w:tr w:rsidR="008C676E" w:rsidRPr="004D7811" w14:paraId="004B7EEB" w14:textId="77777777" w:rsidTr="00AB1DC6">
        <w:trPr>
          <w:trHeight w:val="283"/>
        </w:trPr>
        <w:tc>
          <w:tcPr>
            <w:tcW w:w="3628" w:type="dxa"/>
            <w:tcBorders>
              <w:top w:val="nil"/>
              <w:left w:val="nil"/>
              <w:bottom w:val="nil"/>
              <w:right w:val="nil"/>
            </w:tcBorders>
            <w:vAlign w:val="center"/>
          </w:tcPr>
          <w:p w14:paraId="3F27062D" w14:textId="77777777" w:rsidR="008C676E" w:rsidRPr="000606B5" w:rsidRDefault="008C676E" w:rsidP="00AB1DC6">
            <w:pPr>
              <w:autoSpaceDE w:val="0"/>
              <w:autoSpaceDN w:val="0"/>
              <w:adjustRightInd w:val="0"/>
              <w:spacing w:after="0" w:line="0" w:lineRule="atLeast"/>
              <w:rPr>
                <w:rFonts w:ascii="Arial" w:hAnsi="Arial" w:cs="Arial"/>
                <w:color w:val="000000"/>
                <w:sz w:val="20"/>
                <w:szCs w:val="20"/>
              </w:rPr>
            </w:pPr>
            <w:r w:rsidRPr="00B72BF4">
              <w:rPr>
                <w:rFonts w:ascii="Arial" w:eastAsia="Times New Roman" w:hAnsi="Arial" w:cs="Arial"/>
                <w:color w:val="000000"/>
                <w:sz w:val="20"/>
                <w:szCs w:val="20"/>
                <w:lang w:eastAsia="en-GB"/>
              </w:rPr>
              <w:t>Exceptional finance costs</w:t>
            </w:r>
          </w:p>
        </w:tc>
        <w:tc>
          <w:tcPr>
            <w:tcW w:w="3091" w:type="dxa"/>
            <w:tcBorders>
              <w:top w:val="nil"/>
              <w:left w:val="nil"/>
              <w:bottom w:val="nil"/>
              <w:right w:val="nil"/>
            </w:tcBorders>
            <w:vAlign w:val="bottom"/>
          </w:tcPr>
          <w:p w14:paraId="5724D505"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1.9</w:t>
            </w:r>
          </w:p>
        </w:tc>
        <w:tc>
          <w:tcPr>
            <w:tcW w:w="3092" w:type="dxa"/>
            <w:tcBorders>
              <w:top w:val="nil"/>
              <w:left w:val="nil"/>
              <w:bottom w:val="nil"/>
              <w:right w:val="nil"/>
            </w:tcBorders>
            <w:vAlign w:val="bottom"/>
          </w:tcPr>
          <w:p w14:paraId="3B0D1781" w14:textId="77777777" w:rsidR="008C676E" w:rsidRPr="00C6782F"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2.6</w:t>
            </w:r>
          </w:p>
        </w:tc>
      </w:tr>
      <w:tr w:rsidR="008C676E" w:rsidRPr="004D7811" w14:paraId="7A98C88D" w14:textId="77777777" w:rsidTr="00AB1DC6">
        <w:trPr>
          <w:trHeight w:val="283"/>
        </w:trPr>
        <w:tc>
          <w:tcPr>
            <w:tcW w:w="3628" w:type="dxa"/>
            <w:tcBorders>
              <w:top w:val="single" w:sz="4" w:space="0" w:color="auto"/>
              <w:left w:val="nil"/>
              <w:bottom w:val="double" w:sz="4" w:space="0" w:color="auto"/>
              <w:right w:val="nil"/>
            </w:tcBorders>
            <w:vAlign w:val="bottom"/>
          </w:tcPr>
          <w:p w14:paraId="6B50A2AF" w14:textId="77777777" w:rsidR="008C676E" w:rsidRPr="000606B5" w:rsidRDefault="008C676E" w:rsidP="00AB1DC6">
            <w:pPr>
              <w:autoSpaceDE w:val="0"/>
              <w:autoSpaceDN w:val="0"/>
              <w:adjustRightInd w:val="0"/>
              <w:spacing w:after="0" w:line="0" w:lineRule="atLeast"/>
              <w:rPr>
                <w:rFonts w:ascii="Arial" w:hAnsi="Arial" w:cs="Arial"/>
                <w:color w:val="000000"/>
                <w:sz w:val="20"/>
                <w:szCs w:val="20"/>
              </w:rPr>
            </w:pPr>
            <w:r w:rsidRPr="00B72BF4">
              <w:rPr>
                <w:rFonts w:ascii="Arial" w:eastAsia="Times New Roman" w:hAnsi="Arial" w:cs="Arial"/>
                <w:b/>
                <w:bCs/>
                <w:color w:val="000000"/>
                <w:sz w:val="20"/>
                <w:szCs w:val="20"/>
                <w:lang w:eastAsia="en-GB"/>
              </w:rPr>
              <w:t>Adjusted profit before tax for the period</w:t>
            </w:r>
          </w:p>
        </w:tc>
        <w:tc>
          <w:tcPr>
            <w:tcW w:w="3091" w:type="dxa"/>
            <w:tcBorders>
              <w:top w:val="single" w:sz="4" w:space="0" w:color="auto"/>
              <w:left w:val="nil"/>
              <w:bottom w:val="double" w:sz="4" w:space="0" w:color="auto"/>
              <w:right w:val="nil"/>
            </w:tcBorders>
            <w:vAlign w:val="bottom"/>
          </w:tcPr>
          <w:p w14:paraId="0F7DFEF4"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46.8</w:t>
            </w:r>
          </w:p>
        </w:tc>
        <w:tc>
          <w:tcPr>
            <w:tcW w:w="3092" w:type="dxa"/>
            <w:tcBorders>
              <w:top w:val="single" w:sz="4" w:space="0" w:color="auto"/>
              <w:left w:val="nil"/>
              <w:bottom w:val="double" w:sz="4" w:space="0" w:color="auto"/>
              <w:right w:val="nil"/>
            </w:tcBorders>
            <w:vAlign w:val="bottom"/>
          </w:tcPr>
          <w:p w14:paraId="6FAA7D60" w14:textId="77777777" w:rsidR="008C676E"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53.6</w:t>
            </w:r>
          </w:p>
        </w:tc>
      </w:tr>
    </w:tbl>
    <w:p w14:paraId="5252D304" w14:textId="77777777" w:rsidR="008C676E" w:rsidRDefault="008C676E" w:rsidP="008C676E">
      <w:pPr>
        <w:spacing w:after="0" w:line="240" w:lineRule="auto"/>
        <w:jc w:val="both"/>
        <w:rPr>
          <w:rFonts w:ascii="Arial" w:eastAsia="Times New Roman" w:hAnsi="Arial" w:cs="Arial"/>
          <w:b/>
          <w:bCs/>
          <w:color w:val="000000"/>
          <w:sz w:val="20"/>
          <w:szCs w:val="20"/>
          <w:lang w:eastAsia="en-GB"/>
        </w:rPr>
      </w:pPr>
    </w:p>
    <w:p w14:paraId="4E761BCA" w14:textId="77777777" w:rsidR="008C676E" w:rsidRDefault="008C676E" w:rsidP="008C676E">
      <w:pPr>
        <w:spacing w:after="0" w:line="240" w:lineRule="auto"/>
        <w:jc w:val="both"/>
        <w:rPr>
          <w:rFonts w:ascii="Arial" w:eastAsia="Times New Roman" w:hAnsi="Arial" w:cs="Arial"/>
          <w:b/>
          <w:bCs/>
          <w:color w:val="000000"/>
          <w:sz w:val="20"/>
          <w:szCs w:val="20"/>
          <w:lang w:eastAsia="en-GB"/>
        </w:rPr>
      </w:pPr>
    </w:p>
    <w:p w14:paraId="2414FE55" w14:textId="72D98F7F" w:rsidR="008C676E" w:rsidRDefault="008C676E" w:rsidP="008C676E">
      <w:pPr>
        <w:tabs>
          <w:tab w:val="left" w:pos="5700"/>
        </w:tabs>
        <w:spacing w:after="0" w:line="0" w:lineRule="atLeast"/>
        <w:rPr>
          <w:rFonts w:ascii="Arial" w:hAnsi="Arial" w:cs="Arial"/>
          <w:sz w:val="20"/>
          <w:szCs w:val="20"/>
        </w:rPr>
      </w:pPr>
      <w:r w:rsidRPr="002368F4">
        <w:rPr>
          <w:rFonts w:ascii="Arial" w:hAnsi="Arial" w:cs="Arial"/>
          <w:sz w:val="20"/>
          <w:szCs w:val="20"/>
        </w:rPr>
        <w:t xml:space="preserve">The adjusted earnings per share, based on weighted average number of shares in issue during the </w:t>
      </w:r>
      <w:r w:rsidR="007D74AB">
        <w:rPr>
          <w:rFonts w:ascii="Arial" w:hAnsi="Arial" w:cs="Arial"/>
          <w:sz w:val="20"/>
          <w:szCs w:val="20"/>
        </w:rPr>
        <w:t>year</w:t>
      </w:r>
      <w:r w:rsidRPr="002368F4">
        <w:rPr>
          <w:rFonts w:ascii="Arial" w:hAnsi="Arial" w:cs="Arial"/>
          <w:sz w:val="20"/>
          <w:szCs w:val="20"/>
        </w:rPr>
        <w:t>, is calculated below:</w:t>
      </w:r>
    </w:p>
    <w:p w14:paraId="546DD693" w14:textId="77777777" w:rsidR="008C676E" w:rsidRDefault="008C676E" w:rsidP="008C676E">
      <w:pPr>
        <w:tabs>
          <w:tab w:val="left" w:pos="5700"/>
        </w:tabs>
        <w:spacing w:after="0" w:line="0" w:lineRule="atLeast"/>
        <w:rPr>
          <w:rFonts w:ascii="Arial" w:hAnsi="Arial" w:cs="Arial"/>
          <w:sz w:val="20"/>
          <w:szCs w:val="20"/>
        </w:rPr>
      </w:pPr>
    </w:p>
    <w:tbl>
      <w:tblPr>
        <w:tblW w:w="9669" w:type="dxa"/>
        <w:tblInd w:w="-30" w:type="dxa"/>
        <w:tblLayout w:type="fixed"/>
        <w:tblLook w:val="0000" w:firstRow="0" w:lastRow="0" w:firstColumn="0" w:lastColumn="0" w:noHBand="0" w:noVBand="0"/>
      </w:tblPr>
      <w:tblGrid>
        <w:gridCol w:w="3628"/>
        <w:gridCol w:w="3020"/>
        <w:gridCol w:w="3021"/>
      </w:tblGrid>
      <w:tr w:rsidR="008C676E" w:rsidRPr="004D7811" w14:paraId="554E8CA8" w14:textId="77777777" w:rsidTr="00AB1DC6">
        <w:trPr>
          <w:trHeight w:val="283"/>
        </w:trPr>
        <w:tc>
          <w:tcPr>
            <w:tcW w:w="3628" w:type="dxa"/>
            <w:tcBorders>
              <w:top w:val="nil"/>
              <w:left w:val="nil"/>
              <w:bottom w:val="nil"/>
              <w:right w:val="nil"/>
            </w:tcBorders>
            <w:vAlign w:val="bottom"/>
          </w:tcPr>
          <w:p w14:paraId="14CD9B20" w14:textId="77777777" w:rsidR="008C676E" w:rsidRPr="004D7811" w:rsidRDefault="008C676E" w:rsidP="00AB1DC6">
            <w:pPr>
              <w:autoSpaceDE w:val="0"/>
              <w:autoSpaceDN w:val="0"/>
              <w:adjustRightInd w:val="0"/>
              <w:spacing w:after="0" w:line="0" w:lineRule="atLeast"/>
              <w:jc w:val="right"/>
              <w:rPr>
                <w:rFonts w:ascii="Arial" w:hAnsi="Arial" w:cs="Arial"/>
                <w:color w:val="000000"/>
                <w:sz w:val="20"/>
                <w:szCs w:val="20"/>
                <w:highlight w:val="yellow"/>
              </w:rPr>
            </w:pPr>
          </w:p>
        </w:tc>
        <w:tc>
          <w:tcPr>
            <w:tcW w:w="3020" w:type="dxa"/>
            <w:tcBorders>
              <w:left w:val="nil"/>
              <w:bottom w:val="nil"/>
              <w:right w:val="nil"/>
            </w:tcBorders>
            <w:vAlign w:val="bottom"/>
          </w:tcPr>
          <w:p w14:paraId="2EC4C64F" w14:textId="77777777" w:rsidR="008C676E" w:rsidRPr="00022DB4" w:rsidRDefault="008C676E" w:rsidP="00AB1DC6">
            <w:pPr>
              <w:autoSpaceDE w:val="0"/>
              <w:autoSpaceDN w:val="0"/>
              <w:adjustRightInd w:val="0"/>
              <w:spacing w:after="0" w:line="0" w:lineRule="atLeast"/>
              <w:jc w:val="right"/>
              <w:rPr>
                <w:rFonts w:ascii="Arial" w:hAnsi="Arial" w:cs="Arial"/>
                <w:b/>
                <w:bCs/>
                <w:color w:val="000000"/>
                <w:sz w:val="20"/>
                <w:szCs w:val="20"/>
              </w:rPr>
            </w:pPr>
            <w:r w:rsidRPr="00022DB4">
              <w:rPr>
                <w:rFonts w:ascii="Arial" w:hAnsi="Arial" w:cs="Arial"/>
                <w:b/>
                <w:bCs/>
                <w:color w:val="000000"/>
                <w:sz w:val="20"/>
                <w:szCs w:val="20"/>
              </w:rPr>
              <w:t>2024</w:t>
            </w:r>
          </w:p>
        </w:tc>
        <w:tc>
          <w:tcPr>
            <w:tcW w:w="3021" w:type="dxa"/>
            <w:tcBorders>
              <w:left w:val="nil"/>
              <w:bottom w:val="nil"/>
              <w:right w:val="nil"/>
            </w:tcBorders>
            <w:vAlign w:val="bottom"/>
          </w:tcPr>
          <w:p w14:paraId="4DF89A91" w14:textId="77777777" w:rsidR="008C676E" w:rsidRPr="00022DB4" w:rsidRDefault="008C676E" w:rsidP="00AB1DC6">
            <w:pPr>
              <w:autoSpaceDE w:val="0"/>
              <w:autoSpaceDN w:val="0"/>
              <w:adjustRightInd w:val="0"/>
              <w:spacing w:after="0" w:line="0" w:lineRule="atLeast"/>
              <w:jc w:val="right"/>
              <w:rPr>
                <w:rFonts w:ascii="Arial" w:hAnsi="Arial" w:cs="Arial"/>
                <w:b/>
                <w:bCs/>
                <w:color w:val="000000"/>
                <w:sz w:val="20"/>
                <w:szCs w:val="20"/>
              </w:rPr>
            </w:pPr>
            <w:r w:rsidRPr="00022DB4">
              <w:rPr>
                <w:rFonts w:ascii="Arial" w:hAnsi="Arial" w:cs="Arial"/>
                <w:b/>
                <w:bCs/>
                <w:color w:val="000000"/>
                <w:sz w:val="20"/>
                <w:szCs w:val="20"/>
              </w:rPr>
              <w:t>2023</w:t>
            </w:r>
          </w:p>
        </w:tc>
      </w:tr>
      <w:tr w:rsidR="008C676E" w:rsidRPr="004D7811" w14:paraId="6F9438B8" w14:textId="77777777" w:rsidTr="00AB1DC6">
        <w:trPr>
          <w:trHeight w:val="283"/>
        </w:trPr>
        <w:tc>
          <w:tcPr>
            <w:tcW w:w="3628" w:type="dxa"/>
            <w:tcBorders>
              <w:top w:val="single" w:sz="6" w:space="0" w:color="auto"/>
              <w:left w:val="nil"/>
              <w:right w:val="nil"/>
            </w:tcBorders>
            <w:vAlign w:val="bottom"/>
          </w:tcPr>
          <w:p w14:paraId="4176FD05" w14:textId="77777777" w:rsidR="008C676E" w:rsidRPr="002A43D5" w:rsidRDefault="008C676E" w:rsidP="00AB1DC6">
            <w:pPr>
              <w:autoSpaceDE w:val="0"/>
              <w:autoSpaceDN w:val="0"/>
              <w:adjustRightInd w:val="0"/>
              <w:spacing w:after="0" w:line="0" w:lineRule="atLeast"/>
              <w:rPr>
                <w:rFonts w:ascii="Arial" w:hAnsi="Arial" w:cs="Arial"/>
                <w:color w:val="000000"/>
                <w:sz w:val="20"/>
                <w:szCs w:val="20"/>
              </w:rPr>
            </w:pPr>
            <w:r w:rsidRPr="002A43D5">
              <w:rPr>
                <w:rFonts w:ascii="Arial" w:eastAsia="Times New Roman" w:hAnsi="Arial" w:cs="Arial"/>
                <w:color w:val="000000"/>
                <w:sz w:val="20"/>
                <w:szCs w:val="20"/>
                <w:lang w:eastAsia="en-GB"/>
              </w:rPr>
              <w:t>Adjusted profit before tax (£'m)</w:t>
            </w:r>
          </w:p>
        </w:tc>
        <w:tc>
          <w:tcPr>
            <w:tcW w:w="3020" w:type="dxa"/>
            <w:tcBorders>
              <w:top w:val="single" w:sz="6" w:space="0" w:color="auto"/>
              <w:left w:val="nil"/>
              <w:right w:val="nil"/>
            </w:tcBorders>
            <w:vAlign w:val="bottom"/>
          </w:tcPr>
          <w:p w14:paraId="0CD5898D" w14:textId="77777777" w:rsidR="008C676E" w:rsidRPr="002A43D5" w:rsidRDefault="008C676E" w:rsidP="00AB1DC6">
            <w:pPr>
              <w:autoSpaceDE w:val="0"/>
              <w:autoSpaceDN w:val="0"/>
              <w:adjustRightInd w:val="0"/>
              <w:spacing w:after="0" w:line="0" w:lineRule="atLeast"/>
              <w:jc w:val="right"/>
              <w:rPr>
                <w:rFonts w:ascii="Arial" w:hAnsi="Arial" w:cs="Arial"/>
                <w:b/>
                <w:bCs/>
                <w:color w:val="000000"/>
                <w:sz w:val="20"/>
                <w:szCs w:val="20"/>
              </w:rPr>
            </w:pPr>
            <w:r w:rsidRPr="002A43D5">
              <w:rPr>
                <w:rFonts w:ascii="Arial" w:hAnsi="Arial" w:cs="Arial"/>
                <w:b/>
                <w:bCs/>
                <w:color w:val="000000"/>
                <w:sz w:val="20"/>
                <w:szCs w:val="20"/>
              </w:rPr>
              <w:t>46.8</w:t>
            </w:r>
          </w:p>
        </w:tc>
        <w:tc>
          <w:tcPr>
            <w:tcW w:w="3021" w:type="dxa"/>
            <w:tcBorders>
              <w:top w:val="single" w:sz="6" w:space="0" w:color="auto"/>
              <w:left w:val="nil"/>
              <w:right w:val="nil"/>
            </w:tcBorders>
            <w:vAlign w:val="bottom"/>
          </w:tcPr>
          <w:p w14:paraId="770AACCD" w14:textId="77777777" w:rsidR="008C676E" w:rsidRPr="0045204C"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53.6</w:t>
            </w:r>
          </w:p>
        </w:tc>
      </w:tr>
      <w:tr w:rsidR="008C676E" w:rsidRPr="004D7811" w14:paraId="552512F4" w14:textId="77777777" w:rsidTr="00AB1DC6">
        <w:trPr>
          <w:trHeight w:val="283"/>
        </w:trPr>
        <w:tc>
          <w:tcPr>
            <w:tcW w:w="3628" w:type="dxa"/>
            <w:tcBorders>
              <w:left w:val="nil"/>
              <w:bottom w:val="single" w:sz="6" w:space="0" w:color="auto"/>
              <w:right w:val="nil"/>
            </w:tcBorders>
            <w:vAlign w:val="bottom"/>
          </w:tcPr>
          <w:p w14:paraId="2450DB9D" w14:textId="77777777" w:rsidR="008C676E" w:rsidRPr="00387ED1" w:rsidRDefault="008C676E" w:rsidP="00AB1DC6">
            <w:pPr>
              <w:autoSpaceDE w:val="0"/>
              <w:autoSpaceDN w:val="0"/>
              <w:adjustRightInd w:val="0"/>
              <w:spacing w:after="0" w:line="0" w:lineRule="atLeast"/>
              <w:rPr>
                <w:rFonts w:ascii="Arial" w:hAnsi="Arial" w:cs="Arial"/>
                <w:color w:val="000000"/>
                <w:sz w:val="20"/>
                <w:szCs w:val="20"/>
              </w:rPr>
            </w:pPr>
            <w:r w:rsidRPr="00F06387">
              <w:rPr>
                <w:rFonts w:ascii="Arial" w:eastAsia="Times New Roman" w:hAnsi="Arial" w:cs="Arial"/>
                <w:color w:val="000000"/>
                <w:sz w:val="20"/>
                <w:szCs w:val="20"/>
                <w:lang w:eastAsia="en-GB"/>
              </w:rPr>
              <w:t>Tax at 25% (2023: 19%)</w:t>
            </w:r>
          </w:p>
        </w:tc>
        <w:tc>
          <w:tcPr>
            <w:tcW w:w="3020" w:type="dxa"/>
            <w:tcBorders>
              <w:left w:val="nil"/>
              <w:bottom w:val="single" w:sz="6" w:space="0" w:color="auto"/>
              <w:right w:val="nil"/>
            </w:tcBorders>
            <w:vAlign w:val="bottom"/>
          </w:tcPr>
          <w:p w14:paraId="4D05D7BF"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(11.7)</w:t>
            </w:r>
          </w:p>
        </w:tc>
        <w:tc>
          <w:tcPr>
            <w:tcW w:w="3021" w:type="dxa"/>
            <w:tcBorders>
              <w:left w:val="nil"/>
              <w:bottom w:val="single" w:sz="6" w:space="0" w:color="auto"/>
              <w:right w:val="nil"/>
            </w:tcBorders>
            <w:vAlign w:val="bottom"/>
          </w:tcPr>
          <w:p w14:paraId="74329FB0" w14:textId="77777777" w:rsidR="008C676E" w:rsidRPr="0045204C"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(10.2)</w:t>
            </w:r>
          </w:p>
        </w:tc>
      </w:tr>
      <w:tr w:rsidR="008C676E" w:rsidRPr="004D7811" w14:paraId="56E013A9" w14:textId="77777777" w:rsidTr="00AB1DC6">
        <w:trPr>
          <w:trHeight w:val="283"/>
        </w:trPr>
        <w:tc>
          <w:tcPr>
            <w:tcW w:w="3628" w:type="dxa"/>
            <w:tcBorders>
              <w:top w:val="single" w:sz="6" w:space="0" w:color="auto"/>
              <w:left w:val="nil"/>
              <w:bottom w:val="single" w:sz="6" w:space="0" w:color="auto"/>
              <w:right w:val="nil"/>
            </w:tcBorders>
            <w:vAlign w:val="bottom"/>
          </w:tcPr>
          <w:p w14:paraId="0A5509C3" w14:textId="77777777" w:rsidR="008C676E" w:rsidRPr="00387ED1" w:rsidRDefault="008C676E" w:rsidP="00AB1DC6">
            <w:pPr>
              <w:autoSpaceDE w:val="0"/>
              <w:autoSpaceDN w:val="0"/>
              <w:adjustRightInd w:val="0"/>
              <w:spacing w:after="0" w:line="0" w:lineRule="atLeast"/>
              <w:rPr>
                <w:rFonts w:ascii="Arial" w:hAnsi="Arial" w:cs="Arial"/>
                <w:color w:val="000000"/>
                <w:sz w:val="20"/>
                <w:szCs w:val="20"/>
              </w:rPr>
            </w:pPr>
            <w:r w:rsidRPr="00F06387">
              <w:rPr>
                <w:rFonts w:ascii="Arial" w:eastAsia="Times New Roman" w:hAnsi="Arial" w:cs="Arial"/>
                <w:color w:val="000000"/>
                <w:sz w:val="20"/>
                <w:szCs w:val="20"/>
                <w:lang w:eastAsia="en-GB"/>
              </w:rPr>
              <w:t>Adjusted profit after taxation (£'m)</w:t>
            </w:r>
          </w:p>
        </w:tc>
        <w:tc>
          <w:tcPr>
            <w:tcW w:w="3020" w:type="dxa"/>
            <w:tcBorders>
              <w:top w:val="single" w:sz="6" w:space="0" w:color="auto"/>
              <w:left w:val="nil"/>
              <w:bottom w:val="single" w:sz="6" w:space="0" w:color="auto"/>
              <w:right w:val="nil"/>
            </w:tcBorders>
            <w:vAlign w:val="bottom"/>
          </w:tcPr>
          <w:p w14:paraId="7B643FA0"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35.1</w:t>
            </w:r>
          </w:p>
        </w:tc>
        <w:tc>
          <w:tcPr>
            <w:tcW w:w="3021" w:type="dxa"/>
            <w:tcBorders>
              <w:top w:val="single" w:sz="6" w:space="0" w:color="auto"/>
              <w:left w:val="nil"/>
              <w:bottom w:val="single" w:sz="6" w:space="0" w:color="auto"/>
              <w:right w:val="nil"/>
            </w:tcBorders>
            <w:vAlign w:val="bottom"/>
          </w:tcPr>
          <w:p w14:paraId="4FE9C965" w14:textId="77777777" w:rsidR="008C676E" w:rsidRPr="0045204C"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43.4</w:t>
            </w:r>
          </w:p>
        </w:tc>
      </w:tr>
      <w:tr w:rsidR="008C676E" w:rsidRPr="004D7811" w14:paraId="26E1BDF9" w14:textId="77777777" w:rsidTr="00AB1DC6">
        <w:trPr>
          <w:trHeight w:val="283"/>
        </w:trPr>
        <w:tc>
          <w:tcPr>
            <w:tcW w:w="3628" w:type="dxa"/>
            <w:tcBorders>
              <w:top w:val="nil"/>
              <w:left w:val="nil"/>
              <w:right w:val="nil"/>
            </w:tcBorders>
            <w:vAlign w:val="bottom"/>
          </w:tcPr>
          <w:p w14:paraId="6D5F30C7" w14:textId="77777777" w:rsidR="008C676E" w:rsidRPr="000606B5" w:rsidRDefault="008C676E" w:rsidP="00AB1DC6">
            <w:pPr>
              <w:autoSpaceDE w:val="0"/>
              <w:autoSpaceDN w:val="0"/>
              <w:adjustRightInd w:val="0"/>
              <w:spacing w:after="0" w:line="0" w:lineRule="atLeast"/>
              <w:rPr>
                <w:rFonts w:ascii="Arial" w:hAnsi="Arial" w:cs="Arial"/>
                <w:color w:val="000000"/>
                <w:sz w:val="20"/>
                <w:szCs w:val="20"/>
              </w:rPr>
            </w:pPr>
            <w:r w:rsidRPr="00F06387">
              <w:rPr>
                <w:rFonts w:ascii="Arial" w:eastAsia="Times New Roman" w:hAnsi="Arial" w:cs="Arial"/>
                <w:color w:val="000000"/>
                <w:sz w:val="20"/>
                <w:szCs w:val="20"/>
                <w:lang w:eastAsia="en-GB"/>
              </w:rPr>
              <w:t>Adjusted basic earnings per share (pence)</w:t>
            </w:r>
          </w:p>
        </w:tc>
        <w:tc>
          <w:tcPr>
            <w:tcW w:w="3020" w:type="dxa"/>
            <w:tcBorders>
              <w:top w:val="nil"/>
              <w:left w:val="nil"/>
              <w:right w:val="nil"/>
            </w:tcBorders>
            <w:vAlign w:val="bottom"/>
          </w:tcPr>
          <w:p w14:paraId="77DF4231"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36.4</w:t>
            </w:r>
          </w:p>
        </w:tc>
        <w:tc>
          <w:tcPr>
            <w:tcW w:w="3021" w:type="dxa"/>
            <w:tcBorders>
              <w:top w:val="nil"/>
              <w:left w:val="nil"/>
              <w:right w:val="nil"/>
            </w:tcBorders>
            <w:vAlign w:val="bottom"/>
          </w:tcPr>
          <w:p w14:paraId="4AFB5467" w14:textId="77777777" w:rsidR="008C676E"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45.3</w:t>
            </w:r>
          </w:p>
        </w:tc>
      </w:tr>
      <w:tr w:rsidR="008C676E" w:rsidRPr="004D7811" w14:paraId="6956D04E" w14:textId="77777777" w:rsidTr="00AB1DC6">
        <w:trPr>
          <w:trHeight w:val="283"/>
        </w:trPr>
        <w:tc>
          <w:tcPr>
            <w:tcW w:w="3628" w:type="dxa"/>
            <w:tcBorders>
              <w:top w:val="nil"/>
              <w:left w:val="nil"/>
              <w:bottom w:val="double" w:sz="4" w:space="0" w:color="auto"/>
              <w:right w:val="nil"/>
            </w:tcBorders>
            <w:vAlign w:val="bottom"/>
          </w:tcPr>
          <w:p w14:paraId="3D41C908" w14:textId="77777777" w:rsidR="008C676E" w:rsidRPr="00F06387" w:rsidRDefault="008C676E" w:rsidP="00AB1DC6">
            <w:pPr>
              <w:autoSpaceDE w:val="0"/>
              <w:autoSpaceDN w:val="0"/>
              <w:adjustRightInd w:val="0"/>
              <w:spacing w:after="0" w:line="0" w:lineRule="atLeast"/>
              <w:rPr>
                <w:rFonts w:ascii="Arial" w:eastAsia="Times New Roman" w:hAnsi="Arial" w:cs="Arial"/>
                <w:color w:val="000000"/>
                <w:sz w:val="20"/>
                <w:szCs w:val="20"/>
                <w:lang w:eastAsia="en-GB"/>
              </w:rPr>
            </w:pPr>
            <w:r w:rsidRPr="00AE35B1">
              <w:rPr>
                <w:rFonts w:ascii="Arial" w:eastAsia="Times New Roman" w:hAnsi="Arial" w:cs="Arial"/>
                <w:color w:val="000000"/>
                <w:sz w:val="20"/>
                <w:szCs w:val="20"/>
                <w:lang w:eastAsia="en-GB"/>
              </w:rPr>
              <w:t>Adjusted fully diluted earnings per share (pence)</w:t>
            </w:r>
          </w:p>
        </w:tc>
        <w:tc>
          <w:tcPr>
            <w:tcW w:w="3020" w:type="dxa"/>
            <w:tcBorders>
              <w:top w:val="nil"/>
              <w:left w:val="nil"/>
              <w:bottom w:val="double" w:sz="4" w:space="0" w:color="auto"/>
              <w:right w:val="nil"/>
            </w:tcBorders>
            <w:vAlign w:val="bottom"/>
          </w:tcPr>
          <w:p w14:paraId="1FCA0E00" w14:textId="77777777" w:rsidR="008C676E" w:rsidRPr="00385109"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36.4</w:t>
            </w:r>
          </w:p>
        </w:tc>
        <w:tc>
          <w:tcPr>
            <w:tcW w:w="3021" w:type="dxa"/>
            <w:tcBorders>
              <w:top w:val="nil"/>
              <w:left w:val="nil"/>
              <w:bottom w:val="double" w:sz="4" w:space="0" w:color="auto"/>
              <w:right w:val="nil"/>
            </w:tcBorders>
            <w:vAlign w:val="bottom"/>
          </w:tcPr>
          <w:p w14:paraId="2587E487" w14:textId="77777777" w:rsidR="008C676E"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45.3</w:t>
            </w:r>
          </w:p>
        </w:tc>
      </w:tr>
    </w:tbl>
    <w:p w14:paraId="42822231" w14:textId="77777777" w:rsidR="008C676E" w:rsidRPr="004D7811" w:rsidRDefault="008C676E" w:rsidP="008C676E">
      <w:pPr>
        <w:spacing w:after="0" w:line="240" w:lineRule="auto"/>
        <w:jc w:val="both"/>
        <w:rPr>
          <w:rFonts w:ascii="Arial" w:eastAsia="Times New Roman" w:hAnsi="Arial" w:cs="Arial"/>
          <w:b/>
          <w:bCs/>
          <w:color w:val="000000"/>
          <w:sz w:val="20"/>
          <w:szCs w:val="20"/>
          <w:highlight w:val="yellow"/>
          <w:lang w:eastAsia="en-GB"/>
        </w:rPr>
      </w:pPr>
    </w:p>
    <w:p w14:paraId="28D4C50D" w14:textId="2047D84C" w:rsidR="00B90303" w:rsidRDefault="00A61E77" w:rsidP="008C676E">
      <w:pPr>
        <w:spacing w:after="0" w:line="240" w:lineRule="auto"/>
        <w:jc w:val="both"/>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w:t>
      </w:r>
      <w:r w:rsidR="00B90303" w:rsidRPr="00F06387">
        <w:rPr>
          <w:rFonts w:ascii="Arial" w:eastAsia="Times New Roman" w:hAnsi="Arial" w:cs="Arial"/>
          <w:b/>
          <w:bCs/>
          <w:color w:val="000000"/>
          <w:sz w:val="20"/>
          <w:szCs w:val="20"/>
          <w:lang w:eastAsia="en-GB"/>
        </w:rPr>
        <w:t>. Dividends</w:t>
      </w:r>
    </w:p>
    <w:p w14:paraId="0C5D612A" w14:textId="77777777" w:rsidR="008C676E" w:rsidRPr="008C676E" w:rsidRDefault="008C676E" w:rsidP="008C676E">
      <w:pPr>
        <w:spacing w:after="0" w:line="240" w:lineRule="auto"/>
        <w:jc w:val="both"/>
        <w:rPr>
          <w:rFonts w:ascii="Arial" w:eastAsia="Times New Roman" w:hAnsi="Arial" w:cs="Arial"/>
          <w:b/>
          <w:bCs/>
          <w:color w:val="4C4C4E"/>
          <w:sz w:val="20"/>
          <w:szCs w:val="20"/>
          <w:lang w:eastAsia="en-GB"/>
        </w:rPr>
      </w:pPr>
    </w:p>
    <w:p w14:paraId="359BA85F" w14:textId="77777777" w:rsidR="008C676E" w:rsidRDefault="008C676E" w:rsidP="008C676E">
      <w:pPr>
        <w:tabs>
          <w:tab w:val="left" w:pos="5700"/>
        </w:tabs>
        <w:spacing w:after="0" w:line="0" w:lineRule="atLeast"/>
        <w:jc w:val="both"/>
        <w:rPr>
          <w:rFonts w:ascii="Arial" w:hAnsi="Arial" w:cs="Arial"/>
          <w:sz w:val="20"/>
          <w:szCs w:val="20"/>
        </w:rPr>
      </w:pPr>
      <w:r w:rsidRPr="009E0305">
        <w:rPr>
          <w:rFonts w:ascii="Arial" w:hAnsi="Arial" w:cs="Arial"/>
          <w:sz w:val="20"/>
          <w:szCs w:val="20"/>
        </w:rPr>
        <w:t>On 3 June 2024, the Company declared a special dividend in respect of the current year. The dividend of £1.55 per Marlowe ordinary share amounted to £150.3m and was paid on 5 July 2024.</w:t>
      </w:r>
    </w:p>
    <w:p w14:paraId="13E0EBFB" w14:textId="77777777" w:rsidR="008C676E" w:rsidRDefault="008C676E" w:rsidP="008C676E">
      <w:pPr>
        <w:tabs>
          <w:tab w:val="left" w:pos="5700"/>
        </w:tabs>
        <w:spacing w:after="0" w:line="0" w:lineRule="atLeast"/>
        <w:jc w:val="both"/>
        <w:rPr>
          <w:rFonts w:ascii="Arial" w:hAnsi="Arial" w:cs="Arial"/>
          <w:sz w:val="20"/>
          <w:szCs w:val="20"/>
        </w:rPr>
      </w:pPr>
    </w:p>
    <w:p w14:paraId="534B3607" w14:textId="1F727791" w:rsidR="008C676E" w:rsidRPr="008C676E" w:rsidRDefault="008C676E" w:rsidP="008C676E">
      <w:pPr>
        <w:spacing w:after="0" w:line="240" w:lineRule="auto"/>
        <w:jc w:val="both"/>
        <w:rPr>
          <w:rFonts w:ascii="Arial" w:eastAsia="Times New Roman" w:hAnsi="Arial" w:cs="Arial"/>
          <w:b/>
          <w:bCs/>
          <w:color w:val="4C4C4E"/>
          <w:sz w:val="20"/>
          <w:szCs w:val="20"/>
          <w:lang w:eastAsia="en-GB"/>
        </w:rPr>
      </w:pPr>
      <w:r>
        <w:rPr>
          <w:rFonts w:ascii="Arial" w:eastAsia="Times New Roman" w:hAnsi="Arial" w:cs="Arial"/>
          <w:b/>
          <w:bCs/>
          <w:color w:val="000000"/>
          <w:sz w:val="20"/>
          <w:szCs w:val="20"/>
          <w:lang w:eastAsia="en-GB"/>
        </w:rPr>
        <w:t>7</w:t>
      </w:r>
      <w:r w:rsidRPr="00B13CA3">
        <w:rPr>
          <w:rFonts w:ascii="Arial" w:eastAsia="Times New Roman" w:hAnsi="Arial" w:cs="Arial"/>
          <w:b/>
          <w:bCs/>
          <w:color w:val="000000"/>
          <w:sz w:val="20"/>
          <w:szCs w:val="20"/>
          <w:lang w:eastAsia="en-GB"/>
        </w:rPr>
        <w:t>. Business Combinations</w:t>
      </w:r>
    </w:p>
    <w:p w14:paraId="3C8D258F" w14:textId="77777777" w:rsidR="00B90303" w:rsidRDefault="00B90303" w:rsidP="00B90303">
      <w:pPr>
        <w:tabs>
          <w:tab w:val="left" w:pos="5700"/>
        </w:tabs>
        <w:spacing w:after="0" w:line="0" w:lineRule="atLeast"/>
        <w:rPr>
          <w:rFonts w:ascii="Arial" w:hAnsi="Arial" w:cs="Arial"/>
          <w:sz w:val="20"/>
          <w:szCs w:val="20"/>
        </w:rPr>
      </w:pPr>
    </w:p>
    <w:p w14:paraId="07B9CF24" w14:textId="77777777" w:rsidR="008C676E" w:rsidRDefault="008C676E" w:rsidP="008C676E">
      <w:pPr>
        <w:spacing w:after="0" w:line="240" w:lineRule="auto"/>
        <w:jc w:val="both"/>
        <w:rPr>
          <w:rFonts w:ascii="Arial" w:hAnsi="Arial" w:cs="Arial"/>
          <w:sz w:val="20"/>
          <w:szCs w:val="20"/>
        </w:rPr>
      </w:pPr>
      <w:r w:rsidRPr="00DF7792">
        <w:rPr>
          <w:rFonts w:ascii="Arial" w:hAnsi="Arial" w:cs="Arial"/>
          <w:sz w:val="20"/>
          <w:szCs w:val="20"/>
        </w:rPr>
        <w:t xml:space="preserve">During the year the Group completed </w:t>
      </w:r>
      <w:r>
        <w:rPr>
          <w:rFonts w:ascii="Arial" w:hAnsi="Arial" w:cs="Arial"/>
          <w:sz w:val="20"/>
          <w:szCs w:val="20"/>
        </w:rPr>
        <w:t>five</w:t>
      </w:r>
      <w:r w:rsidRPr="00DF7792">
        <w:rPr>
          <w:rFonts w:ascii="Arial" w:hAnsi="Arial" w:cs="Arial"/>
          <w:sz w:val="20"/>
          <w:szCs w:val="20"/>
        </w:rPr>
        <w:t xml:space="preserve"> acquisitions to create shareholder value by adding depth and breadth to the Group's compliance-based platforms.</w:t>
      </w:r>
    </w:p>
    <w:p w14:paraId="7E4C43E9" w14:textId="77777777" w:rsidR="008C676E" w:rsidRPr="004D7811" w:rsidRDefault="008C676E" w:rsidP="008C676E">
      <w:pPr>
        <w:spacing w:after="0" w:line="240" w:lineRule="auto"/>
        <w:jc w:val="both"/>
        <w:rPr>
          <w:rFonts w:ascii="Arial" w:hAnsi="Arial" w:cs="Arial"/>
          <w:sz w:val="20"/>
          <w:szCs w:val="20"/>
          <w:highlight w:val="yellow"/>
        </w:rPr>
      </w:pPr>
    </w:p>
    <w:p w14:paraId="4ED63C71" w14:textId="1F62E9A9" w:rsidR="008C676E" w:rsidRDefault="008C676E" w:rsidP="008C676E">
      <w:pPr>
        <w:spacing w:after="0" w:line="240" w:lineRule="auto"/>
        <w:jc w:val="both"/>
        <w:rPr>
          <w:rFonts w:ascii="Arial" w:hAnsi="Arial" w:cs="Arial"/>
          <w:sz w:val="20"/>
          <w:szCs w:val="20"/>
        </w:rPr>
      </w:pPr>
      <w:r w:rsidRPr="00120172">
        <w:rPr>
          <w:rFonts w:ascii="Arial" w:hAnsi="Arial" w:cs="Arial"/>
          <w:sz w:val="20"/>
          <w:szCs w:val="20"/>
        </w:rPr>
        <w:t xml:space="preserve">If the acquisitions had been completed on the first day of the financial year, Group revenue would have been </w:t>
      </w:r>
      <w:r w:rsidRPr="00BC7273">
        <w:rPr>
          <w:rFonts w:ascii="Arial" w:hAnsi="Arial" w:cs="Arial"/>
          <w:sz w:val="20"/>
          <w:szCs w:val="20"/>
        </w:rPr>
        <w:t>£506.9m and Group loss before tax would have been £10.3m. Post completion, the acquisitions made during the year contributed £26.0m revenue and £4.3m profit b</w:t>
      </w:r>
      <w:r w:rsidRPr="00120172">
        <w:rPr>
          <w:rFonts w:ascii="Arial" w:hAnsi="Arial" w:cs="Arial"/>
          <w:sz w:val="20"/>
          <w:szCs w:val="20"/>
        </w:rPr>
        <w:t xml:space="preserve">efore tax. As explained in </w:t>
      </w:r>
      <w:r w:rsidRPr="00F72BA1">
        <w:rPr>
          <w:rFonts w:ascii="Arial" w:hAnsi="Arial" w:cs="Arial"/>
          <w:sz w:val="20"/>
          <w:szCs w:val="20"/>
        </w:rPr>
        <w:t xml:space="preserve">note </w:t>
      </w:r>
      <w:r w:rsidR="008A0DEE" w:rsidRPr="00F72BA1">
        <w:rPr>
          <w:rFonts w:ascii="Arial" w:hAnsi="Arial" w:cs="Arial"/>
          <w:sz w:val="20"/>
          <w:szCs w:val="20"/>
        </w:rPr>
        <w:t>3</w:t>
      </w:r>
      <w:r w:rsidRPr="00FB6291">
        <w:rPr>
          <w:rFonts w:ascii="Arial" w:hAnsi="Arial" w:cs="Arial"/>
          <w:sz w:val="20"/>
          <w:szCs w:val="20"/>
        </w:rPr>
        <w:t>,</w:t>
      </w:r>
      <w:r w:rsidRPr="00120172">
        <w:rPr>
          <w:rFonts w:ascii="Arial" w:hAnsi="Arial" w:cs="Arial"/>
          <w:sz w:val="20"/>
          <w:szCs w:val="20"/>
        </w:rPr>
        <w:t xml:space="preserve"> following acquisition </w:t>
      </w:r>
      <w:proofErr w:type="gramStart"/>
      <w:r w:rsidRPr="00120172">
        <w:rPr>
          <w:rFonts w:ascii="Arial" w:hAnsi="Arial" w:cs="Arial"/>
          <w:sz w:val="20"/>
          <w:szCs w:val="20"/>
        </w:rPr>
        <w:t>a number of</w:t>
      </w:r>
      <w:proofErr w:type="gramEnd"/>
      <w:r w:rsidRPr="00120172">
        <w:rPr>
          <w:rFonts w:ascii="Arial" w:hAnsi="Arial" w:cs="Arial"/>
          <w:sz w:val="20"/>
          <w:szCs w:val="20"/>
        </w:rPr>
        <w:t xml:space="preserve"> restructuring costs are incurred, and after this post acquisition restructuring the acquisitions have a positive impact on Group profit before tax.</w:t>
      </w:r>
    </w:p>
    <w:p w14:paraId="0BD9A0E2" w14:textId="77777777" w:rsidR="008C676E" w:rsidRPr="004D7811" w:rsidRDefault="008C676E" w:rsidP="008C676E">
      <w:pPr>
        <w:spacing w:after="0" w:line="240" w:lineRule="auto"/>
        <w:jc w:val="both"/>
        <w:rPr>
          <w:rFonts w:ascii="Arial" w:hAnsi="Arial" w:cs="Arial"/>
          <w:sz w:val="20"/>
          <w:szCs w:val="20"/>
          <w:highlight w:val="yellow"/>
        </w:rPr>
      </w:pPr>
    </w:p>
    <w:p w14:paraId="36FDABCF" w14:textId="77777777" w:rsidR="008C676E" w:rsidRPr="004D7811" w:rsidRDefault="008C676E" w:rsidP="008C676E">
      <w:pPr>
        <w:spacing w:after="0" w:line="240" w:lineRule="auto"/>
        <w:jc w:val="both"/>
        <w:rPr>
          <w:rFonts w:ascii="Arial" w:hAnsi="Arial" w:cs="Arial"/>
          <w:sz w:val="20"/>
          <w:szCs w:val="20"/>
          <w:highlight w:val="yellow"/>
        </w:rPr>
      </w:pPr>
      <w:r w:rsidRPr="00120172">
        <w:rPr>
          <w:rFonts w:ascii="Arial" w:hAnsi="Arial" w:cs="Arial"/>
          <w:sz w:val="20"/>
          <w:szCs w:val="20"/>
        </w:rPr>
        <w:t>Goodwill acquired in the business combinations represent a payment made by the acquirer in anticipation of future economic benefits from assets that are not capable of being individually identified and separately recognised. Goodwill is not deductible for tax purposes. Acquisition balance sheets are deemed provisional when the post-acquisition integration period, typically up to 12 months post-acquisition, has yet to complete.</w:t>
      </w:r>
    </w:p>
    <w:p w14:paraId="3CB4F665" w14:textId="77777777" w:rsidR="008C676E" w:rsidRDefault="008C676E" w:rsidP="008C676E">
      <w:pPr>
        <w:spacing w:after="0" w:line="240" w:lineRule="auto"/>
        <w:jc w:val="both"/>
        <w:rPr>
          <w:rFonts w:ascii="Arial" w:eastAsia="Times New Roman" w:hAnsi="Arial" w:cs="Arial"/>
          <w:i/>
          <w:iCs/>
          <w:color w:val="000000"/>
          <w:sz w:val="20"/>
          <w:szCs w:val="20"/>
          <w:highlight w:val="yellow"/>
          <w:lang w:eastAsia="en-GB"/>
        </w:rPr>
      </w:pPr>
    </w:p>
    <w:p w14:paraId="055D6480" w14:textId="77777777" w:rsidR="008C676E" w:rsidRPr="008E7C97" w:rsidRDefault="008C676E" w:rsidP="008C676E">
      <w:pPr>
        <w:spacing w:after="0" w:line="240" w:lineRule="auto"/>
        <w:jc w:val="both"/>
        <w:rPr>
          <w:rFonts w:ascii="Arial" w:hAnsi="Arial" w:cs="Arial"/>
          <w:sz w:val="20"/>
          <w:szCs w:val="20"/>
          <w:u w:val="single"/>
        </w:rPr>
      </w:pPr>
      <w:r w:rsidRPr="008E7C97">
        <w:rPr>
          <w:rFonts w:ascii="Arial" w:hAnsi="Arial" w:cs="Arial"/>
          <w:sz w:val="20"/>
          <w:szCs w:val="20"/>
          <w:u w:val="single"/>
        </w:rPr>
        <w:t>Acquisition of Victory Fire Limited</w:t>
      </w:r>
    </w:p>
    <w:p w14:paraId="6AE533E0" w14:textId="77777777" w:rsidR="008C676E" w:rsidRPr="008E7C97" w:rsidRDefault="008C676E" w:rsidP="008C676E">
      <w:pPr>
        <w:spacing w:after="0" w:line="240" w:lineRule="auto"/>
        <w:jc w:val="both"/>
        <w:rPr>
          <w:rFonts w:ascii="Arial" w:hAnsi="Arial" w:cs="Arial"/>
          <w:sz w:val="20"/>
          <w:szCs w:val="20"/>
        </w:rPr>
      </w:pPr>
    </w:p>
    <w:p w14:paraId="76040D1C" w14:textId="30AAA8E0" w:rsidR="008C676E" w:rsidRPr="003758C2" w:rsidRDefault="008C676E" w:rsidP="008C676E">
      <w:pPr>
        <w:spacing w:after="0" w:line="240" w:lineRule="auto"/>
        <w:jc w:val="both"/>
        <w:rPr>
          <w:rFonts w:ascii="Arial" w:hAnsi="Arial" w:cs="Arial"/>
          <w:sz w:val="20"/>
          <w:szCs w:val="20"/>
        </w:rPr>
      </w:pPr>
      <w:r w:rsidRPr="003758C2">
        <w:rPr>
          <w:rFonts w:ascii="Arial" w:hAnsi="Arial" w:cs="Arial"/>
          <w:sz w:val="20"/>
          <w:szCs w:val="20"/>
        </w:rPr>
        <w:t>On 6 April 2023 the Group acquired Victory Fire Limited (“Victory Fire”), a provider of fire &amp; security installation and maintenance services for a total consideration of £6.</w:t>
      </w:r>
      <w:r>
        <w:rPr>
          <w:rFonts w:ascii="Arial" w:hAnsi="Arial" w:cs="Arial"/>
          <w:sz w:val="20"/>
          <w:szCs w:val="20"/>
        </w:rPr>
        <w:t>6</w:t>
      </w:r>
      <w:r w:rsidRPr="003758C2">
        <w:rPr>
          <w:rFonts w:ascii="Arial" w:hAnsi="Arial" w:cs="Arial"/>
          <w:sz w:val="20"/>
          <w:szCs w:val="20"/>
        </w:rPr>
        <w:t>m, satisfied by the payment of £5.5m in cash on completion, £0.1m payable subject to the satisfactory completion of certain integration tasks and £</w:t>
      </w:r>
      <w:r>
        <w:rPr>
          <w:rFonts w:ascii="Arial" w:hAnsi="Arial" w:cs="Arial"/>
          <w:sz w:val="20"/>
          <w:szCs w:val="20"/>
        </w:rPr>
        <w:t>1.0m</w:t>
      </w:r>
      <w:r w:rsidRPr="003758C2">
        <w:rPr>
          <w:rFonts w:ascii="Arial" w:hAnsi="Arial" w:cs="Arial"/>
          <w:sz w:val="20"/>
          <w:szCs w:val="20"/>
        </w:rPr>
        <w:t xml:space="preserve"> payable </w:t>
      </w:r>
      <w:r w:rsidRPr="003758C2">
        <w:rPr>
          <w:rFonts w:ascii="Arial" w:hAnsi="Arial" w:cs="Arial"/>
          <w:sz w:val="20"/>
          <w:szCs w:val="20"/>
        </w:rPr>
        <w:lastRenderedPageBreak/>
        <w:t>subject to the achievement of certain performance targets by the acquired business 12 months post-acquisition. The £1.0m contingent consideration payable has been discounted to its present value of £0.</w:t>
      </w:r>
      <w:r w:rsidR="00FC7F5E">
        <w:rPr>
          <w:rFonts w:ascii="Arial" w:hAnsi="Arial" w:cs="Arial"/>
          <w:sz w:val="20"/>
          <w:szCs w:val="20"/>
        </w:rPr>
        <w:t>8</w:t>
      </w:r>
      <w:r w:rsidRPr="003758C2">
        <w:rPr>
          <w:rFonts w:ascii="Arial" w:hAnsi="Arial" w:cs="Arial"/>
          <w:sz w:val="20"/>
          <w:szCs w:val="20"/>
        </w:rPr>
        <w:t xml:space="preserve">m by applying the weighted average cost of capital used in the purchase price allocation. </w:t>
      </w:r>
    </w:p>
    <w:p w14:paraId="1477EB61" w14:textId="77777777" w:rsidR="008C676E" w:rsidRPr="003758C2" w:rsidRDefault="008C676E" w:rsidP="008C676E">
      <w:pPr>
        <w:spacing w:after="0" w:line="240" w:lineRule="auto"/>
        <w:jc w:val="both"/>
        <w:rPr>
          <w:rFonts w:ascii="Arial" w:hAnsi="Arial" w:cs="Arial"/>
          <w:sz w:val="20"/>
          <w:szCs w:val="20"/>
        </w:rPr>
      </w:pPr>
    </w:p>
    <w:p w14:paraId="578D939F" w14:textId="77777777" w:rsidR="008C676E" w:rsidRDefault="008C676E" w:rsidP="008C676E">
      <w:pPr>
        <w:spacing w:after="0" w:line="240" w:lineRule="auto"/>
        <w:jc w:val="both"/>
        <w:rPr>
          <w:rFonts w:ascii="Arial" w:hAnsi="Arial" w:cs="Arial"/>
          <w:sz w:val="20"/>
          <w:szCs w:val="20"/>
        </w:rPr>
      </w:pPr>
      <w:r w:rsidRPr="003758C2">
        <w:rPr>
          <w:rFonts w:ascii="Arial" w:hAnsi="Arial" w:cs="Arial"/>
          <w:sz w:val="20"/>
          <w:szCs w:val="20"/>
        </w:rPr>
        <w:t xml:space="preserve">One hundred percent of the equity of Victory Fire was acquired in this transaction. Deferred tax has been provided on the value of the intangible assets at the tax rate applicable at the time the asset is expected to be realised. Acquisition costs </w:t>
      </w:r>
      <w:r w:rsidRPr="00CA0861">
        <w:rPr>
          <w:rFonts w:ascii="Arial" w:hAnsi="Arial" w:cs="Arial"/>
          <w:sz w:val="20"/>
          <w:szCs w:val="20"/>
        </w:rPr>
        <w:t xml:space="preserve">of </w:t>
      </w:r>
      <w:r w:rsidRPr="00A43702">
        <w:rPr>
          <w:rFonts w:ascii="Arial" w:hAnsi="Arial" w:cs="Arial"/>
          <w:sz w:val="20"/>
          <w:szCs w:val="20"/>
        </w:rPr>
        <w:t>£</w:t>
      </w:r>
      <w:r>
        <w:rPr>
          <w:rFonts w:ascii="Arial" w:hAnsi="Arial" w:cs="Arial"/>
          <w:sz w:val="20"/>
          <w:szCs w:val="20"/>
        </w:rPr>
        <w:t>0.1m</w:t>
      </w:r>
      <w:r w:rsidRPr="00CA0861">
        <w:rPr>
          <w:rFonts w:ascii="Arial" w:hAnsi="Arial" w:cs="Arial"/>
          <w:sz w:val="20"/>
          <w:szCs w:val="20"/>
        </w:rPr>
        <w:t xml:space="preserve"> have</w:t>
      </w:r>
      <w:r w:rsidRPr="003758C2">
        <w:rPr>
          <w:rFonts w:ascii="Arial" w:hAnsi="Arial" w:cs="Arial"/>
          <w:sz w:val="20"/>
          <w:szCs w:val="20"/>
        </w:rPr>
        <w:t xml:space="preserve"> been charged to profit or loss.</w:t>
      </w:r>
    </w:p>
    <w:p w14:paraId="6D651B1E" w14:textId="77777777" w:rsidR="008C676E" w:rsidRDefault="008C676E" w:rsidP="008C676E">
      <w:pPr>
        <w:spacing w:after="0" w:line="240" w:lineRule="auto"/>
        <w:jc w:val="both"/>
        <w:rPr>
          <w:rFonts w:ascii="Arial" w:hAnsi="Arial" w:cs="Arial"/>
          <w:sz w:val="20"/>
          <w:szCs w:val="20"/>
        </w:rPr>
      </w:pPr>
    </w:p>
    <w:p w14:paraId="5ACE3E5D" w14:textId="77777777" w:rsidR="008C676E" w:rsidRPr="00385109" w:rsidRDefault="008C676E" w:rsidP="008C676E">
      <w:pPr>
        <w:spacing w:after="0" w:line="240" w:lineRule="auto"/>
        <w:jc w:val="both"/>
        <w:rPr>
          <w:rFonts w:ascii="Arial" w:hAnsi="Arial" w:cs="Arial"/>
          <w:i/>
          <w:iCs/>
          <w:sz w:val="20"/>
          <w:szCs w:val="20"/>
        </w:rPr>
      </w:pPr>
    </w:p>
    <w:tbl>
      <w:tblPr>
        <w:tblW w:w="9752" w:type="dxa"/>
        <w:tblInd w:w="-30" w:type="dxa"/>
        <w:tblLayout w:type="fixed"/>
        <w:tblLook w:val="0000" w:firstRow="0" w:lastRow="0" w:firstColumn="0" w:lastColumn="0" w:noHBand="0" w:noVBand="0"/>
      </w:tblPr>
      <w:tblGrid>
        <w:gridCol w:w="6690"/>
        <w:gridCol w:w="1531"/>
        <w:gridCol w:w="1531"/>
      </w:tblGrid>
      <w:tr w:rsidR="008C676E" w:rsidRPr="004D7811" w14:paraId="17CA2CA4" w14:textId="77777777" w:rsidTr="00AB1DC6">
        <w:trPr>
          <w:trHeight w:val="283"/>
        </w:trPr>
        <w:tc>
          <w:tcPr>
            <w:tcW w:w="6690" w:type="dxa"/>
            <w:vAlign w:val="bottom"/>
          </w:tcPr>
          <w:p w14:paraId="353B685A"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vAlign w:val="bottom"/>
          </w:tcPr>
          <w:p w14:paraId="431F141F"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vAlign w:val="bottom"/>
          </w:tcPr>
          <w:p w14:paraId="1A53B16C"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b/>
                <w:bCs/>
                <w:color w:val="000000"/>
                <w:sz w:val="20"/>
                <w:szCs w:val="20"/>
              </w:rPr>
              <w:t>Fair value at acquisition</w:t>
            </w:r>
          </w:p>
        </w:tc>
      </w:tr>
      <w:tr w:rsidR="008C676E" w:rsidRPr="004D7811" w14:paraId="3794FE28" w14:textId="77777777" w:rsidTr="00AB1DC6">
        <w:trPr>
          <w:trHeight w:val="283"/>
        </w:trPr>
        <w:tc>
          <w:tcPr>
            <w:tcW w:w="6690" w:type="dxa"/>
            <w:tcBorders>
              <w:bottom w:val="single" w:sz="4" w:space="0" w:color="auto"/>
            </w:tcBorders>
            <w:vAlign w:val="bottom"/>
          </w:tcPr>
          <w:p w14:paraId="421F5017"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tcBorders>
              <w:bottom w:val="single" w:sz="4" w:space="0" w:color="auto"/>
            </w:tcBorders>
            <w:vAlign w:val="bottom"/>
          </w:tcPr>
          <w:p w14:paraId="46506B41"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tcBorders>
              <w:bottom w:val="single" w:sz="4" w:space="0" w:color="auto"/>
            </w:tcBorders>
            <w:vAlign w:val="bottom"/>
          </w:tcPr>
          <w:p w14:paraId="162F81D8" w14:textId="77777777" w:rsidR="008C676E"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£’m</w:t>
            </w:r>
          </w:p>
        </w:tc>
      </w:tr>
      <w:tr w:rsidR="008C676E" w:rsidRPr="004D7811" w14:paraId="35D9882D" w14:textId="77777777" w:rsidTr="00AB1DC6">
        <w:trPr>
          <w:trHeight w:val="283"/>
        </w:trPr>
        <w:tc>
          <w:tcPr>
            <w:tcW w:w="6690" w:type="dxa"/>
            <w:tcBorders>
              <w:top w:val="single" w:sz="4" w:space="0" w:color="auto"/>
            </w:tcBorders>
          </w:tcPr>
          <w:p w14:paraId="69E71155"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Intangible assets – customer relationships</w:t>
            </w:r>
          </w:p>
        </w:tc>
        <w:tc>
          <w:tcPr>
            <w:tcW w:w="1531" w:type="dxa"/>
            <w:tcBorders>
              <w:top w:val="single" w:sz="4" w:space="0" w:color="auto"/>
            </w:tcBorders>
            <w:vAlign w:val="bottom"/>
          </w:tcPr>
          <w:p w14:paraId="6090CAAF"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Borders>
              <w:top w:val="single" w:sz="4" w:space="0" w:color="auto"/>
            </w:tcBorders>
            <w:vAlign w:val="bottom"/>
          </w:tcPr>
          <w:p w14:paraId="2DBC8F7D"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sidRPr="00C10C3F">
              <w:rPr>
                <w:rFonts w:ascii="Arial" w:hAnsi="Arial" w:cs="Arial"/>
                <w:color w:val="000000"/>
                <w:sz w:val="20"/>
                <w:szCs w:val="20"/>
              </w:rPr>
              <w:t>1.1</w:t>
            </w:r>
          </w:p>
        </w:tc>
      </w:tr>
      <w:tr w:rsidR="008C676E" w:rsidRPr="004D7811" w14:paraId="3E1D7394" w14:textId="77777777" w:rsidTr="00AB1DC6">
        <w:trPr>
          <w:trHeight w:val="283"/>
        </w:trPr>
        <w:tc>
          <w:tcPr>
            <w:tcW w:w="6690" w:type="dxa"/>
          </w:tcPr>
          <w:p w14:paraId="7549F10C"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Trade and other receivables</w:t>
            </w:r>
          </w:p>
        </w:tc>
        <w:tc>
          <w:tcPr>
            <w:tcW w:w="1531" w:type="dxa"/>
            <w:vAlign w:val="bottom"/>
          </w:tcPr>
          <w:p w14:paraId="30B15D3C"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vAlign w:val="bottom"/>
          </w:tcPr>
          <w:p w14:paraId="1F5294A6"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sidRPr="00C10C3F">
              <w:rPr>
                <w:rFonts w:ascii="Arial" w:hAnsi="Arial" w:cs="Arial"/>
                <w:color w:val="000000"/>
                <w:sz w:val="20"/>
                <w:szCs w:val="20"/>
              </w:rPr>
              <w:t>0.3</w:t>
            </w:r>
          </w:p>
        </w:tc>
      </w:tr>
      <w:tr w:rsidR="008C676E" w:rsidRPr="004D7811" w14:paraId="5CB28EF3" w14:textId="77777777" w:rsidTr="00AB1DC6">
        <w:trPr>
          <w:trHeight w:val="283"/>
        </w:trPr>
        <w:tc>
          <w:tcPr>
            <w:tcW w:w="6690" w:type="dxa"/>
          </w:tcPr>
          <w:p w14:paraId="0AE7D55A"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Cash</w:t>
            </w:r>
          </w:p>
        </w:tc>
        <w:tc>
          <w:tcPr>
            <w:tcW w:w="1531" w:type="dxa"/>
            <w:vAlign w:val="bottom"/>
          </w:tcPr>
          <w:p w14:paraId="7AF09656"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vAlign w:val="bottom"/>
          </w:tcPr>
          <w:p w14:paraId="7AC46DBB"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sidRPr="00C10C3F">
              <w:rPr>
                <w:rFonts w:ascii="Arial" w:hAnsi="Arial" w:cs="Arial"/>
                <w:color w:val="000000"/>
                <w:sz w:val="20"/>
                <w:szCs w:val="20"/>
              </w:rPr>
              <w:t>2.1</w:t>
            </w:r>
          </w:p>
        </w:tc>
      </w:tr>
      <w:tr w:rsidR="008C676E" w:rsidRPr="004D7811" w14:paraId="55A5E7C5" w14:textId="77777777" w:rsidTr="00AB1DC6">
        <w:trPr>
          <w:trHeight w:val="283"/>
        </w:trPr>
        <w:tc>
          <w:tcPr>
            <w:tcW w:w="6690" w:type="dxa"/>
            <w:shd w:val="clear" w:color="auto" w:fill="auto"/>
          </w:tcPr>
          <w:p w14:paraId="4922EF65"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Inventories</w:t>
            </w:r>
          </w:p>
        </w:tc>
        <w:tc>
          <w:tcPr>
            <w:tcW w:w="1531" w:type="dxa"/>
            <w:vAlign w:val="bottom"/>
          </w:tcPr>
          <w:p w14:paraId="5C46DDD7"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shd w:val="clear" w:color="auto" w:fill="auto"/>
            <w:vAlign w:val="bottom"/>
          </w:tcPr>
          <w:p w14:paraId="25B96D61"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sidRPr="00C10C3F">
              <w:rPr>
                <w:rFonts w:ascii="Arial" w:hAnsi="Arial" w:cs="Arial"/>
                <w:color w:val="000000"/>
                <w:sz w:val="20"/>
                <w:szCs w:val="20"/>
              </w:rPr>
              <w:t>0.1</w:t>
            </w:r>
          </w:p>
        </w:tc>
      </w:tr>
      <w:tr w:rsidR="008C676E" w:rsidRPr="004D7811" w14:paraId="3D7F2A07" w14:textId="77777777" w:rsidTr="00AB1DC6">
        <w:trPr>
          <w:trHeight w:val="283"/>
        </w:trPr>
        <w:tc>
          <w:tcPr>
            <w:tcW w:w="6690" w:type="dxa"/>
            <w:shd w:val="clear" w:color="auto" w:fill="auto"/>
          </w:tcPr>
          <w:p w14:paraId="58B95FFC"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Property, plant and equipment</w:t>
            </w:r>
          </w:p>
        </w:tc>
        <w:tc>
          <w:tcPr>
            <w:tcW w:w="1531" w:type="dxa"/>
            <w:vAlign w:val="bottom"/>
          </w:tcPr>
          <w:p w14:paraId="5AA42435"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660DE10A"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sidRPr="00C10C3F">
              <w:rPr>
                <w:rFonts w:ascii="Arial" w:hAnsi="Arial" w:cs="Arial"/>
                <w:color w:val="000000"/>
                <w:sz w:val="20"/>
                <w:szCs w:val="20"/>
              </w:rPr>
              <w:t>0.1</w:t>
            </w:r>
          </w:p>
        </w:tc>
      </w:tr>
      <w:tr w:rsidR="008C676E" w:rsidRPr="004D7811" w14:paraId="1CBBE9CB" w14:textId="77777777" w:rsidTr="00AB1DC6">
        <w:trPr>
          <w:trHeight w:val="283"/>
        </w:trPr>
        <w:tc>
          <w:tcPr>
            <w:tcW w:w="6690" w:type="dxa"/>
            <w:shd w:val="clear" w:color="auto" w:fill="auto"/>
          </w:tcPr>
          <w:p w14:paraId="527C2FE0"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Trade and other payables</w:t>
            </w:r>
          </w:p>
        </w:tc>
        <w:tc>
          <w:tcPr>
            <w:tcW w:w="1531" w:type="dxa"/>
            <w:vAlign w:val="bottom"/>
          </w:tcPr>
          <w:p w14:paraId="01457C58"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61BFF8E2"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w:t>
            </w:r>
            <w:r w:rsidRPr="00C10C3F">
              <w:rPr>
                <w:rFonts w:ascii="Arial" w:hAnsi="Arial" w:cs="Arial"/>
                <w:color w:val="000000"/>
                <w:sz w:val="20"/>
                <w:szCs w:val="20"/>
              </w:rPr>
              <w:t>0.2</w:t>
            </w:r>
            <w:r>
              <w:rPr>
                <w:rFonts w:ascii="Arial" w:hAnsi="Arial" w:cs="Arial"/>
                <w:color w:val="000000"/>
                <w:sz w:val="20"/>
                <w:szCs w:val="20"/>
              </w:rPr>
              <w:t>)</w:t>
            </w:r>
          </w:p>
        </w:tc>
      </w:tr>
      <w:tr w:rsidR="008C676E" w:rsidRPr="004D7811" w14:paraId="1C5416A7" w14:textId="77777777" w:rsidTr="00AB1DC6">
        <w:trPr>
          <w:trHeight w:val="283"/>
        </w:trPr>
        <w:tc>
          <w:tcPr>
            <w:tcW w:w="6690" w:type="dxa"/>
            <w:shd w:val="clear" w:color="auto" w:fill="auto"/>
          </w:tcPr>
          <w:p w14:paraId="7004E111"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Deferred tax liabilities</w:t>
            </w:r>
          </w:p>
        </w:tc>
        <w:tc>
          <w:tcPr>
            <w:tcW w:w="1531" w:type="dxa"/>
            <w:vAlign w:val="bottom"/>
          </w:tcPr>
          <w:p w14:paraId="063B3E98"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29DCF29C"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w:t>
            </w:r>
            <w:r w:rsidRPr="00C10C3F">
              <w:rPr>
                <w:rFonts w:ascii="Arial" w:hAnsi="Arial" w:cs="Arial"/>
                <w:color w:val="000000"/>
                <w:sz w:val="20"/>
                <w:szCs w:val="20"/>
              </w:rPr>
              <w:t>0.3</w:t>
            </w:r>
            <w:r>
              <w:rPr>
                <w:rFonts w:ascii="Arial" w:hAnsi="Arial" w:cs="Arial"/>
                <w:color w:val="000000"/>
                <w:sz w:val="20"/>
                <w:szCs w:val="20"/>
              </w:rPr>
              <w:t>)</w:t>
            </w:r>
          </w:p>
        </w:tc>
      </w:tr>
      <w:tr w:rsidR="008C676E" w:rsidRPr="004D7811" w14:paraId="6B5B2F61" w14:textId="77777777" w:rsidTr="00AB1DC6">
        <w:trPr>
          <w:trHeight w:val="283"/>
        </w:trPr>
        <w:tc>
          <w:tcPr>
            <w:tcW w:w="6690" w:type="dxa"/>
            <w:shd w:val="clear" w:color="auto" w:fill="auto"/>
          </w:tcPr>
          <w:p w14:paraId="60F5BF2F"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Tax liabilities</w:t>
            </w:r>
          </w:p>
        </w:tc>
        <w:tc>
          <w:tcPr>
            <w:tcW w:w="1531" w:type="dxa"/>
            <w:vAlign w:val="bottom"/>
          </w:tcPr>
          <w:p w14:paraId="4EB468F5"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7A2B54A5"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w:t>
            </w:r>
            <w:r w:rsidRPr="00C10C3F">
              <w:rPr>
                <w:rFonts w:ascii="Arial" w:hAnsi="Arial" w:cs="Arial"/>
                <w:color w:val="000000"/>
                <w:sz w:val="20"/>
                <w:szCs w:val="20"/>
              </w:rPr>
              <w:t>0.1</w:t>
            </w:r>
            <w:r>
              <w:rPr>
                <w:rFonts w:ascii="Arial" w:hAnsi="Arial" w:cs="Arial"/>
                <w:color w:val="000000"/>
                <w:sz w:val="20"/>
                <w:szCs w:val="20"/>
              </w:rPr>
              <w:t>)</w:t>
            </w:r>
          </w:p>
        </w:tc>
      </w:tr>
      <w:tr w:rsidR="008C676E" w:rsidRPr="004D7811" w14:paraId="260C3C83" w14:textId="77777777" w:rsidTr="00AB1DC6">
        <w:trPr>
          <w:trHeight w:val="283"/>
        </w:trPr>
        <w:tc>
          <w:tcPr>
            <w:tcW w:w="6690" w:type="dxa"/>
            <w:tcBorders>
              <w:top w:val="single" w:sz="4" w:space="0" w:color="auto"/>
              <w:bottom w:val="single" w:sz="4" w:space="0" w:color="auto"/>
            </w:tcBorders>
            <w:shd w:val="clear" w:color="auto" w:fill="auto"/>
            <w:vAlign w:val="bottom"/>
          </w:tcPr>
          <w:p w14:paraId="24359CBE" w14:textId="77777777" w:rsidR="008C676E" w:rsidRPr="009B1780" w:rsidRDefault="008C676E" w:rsidP="00AB1DC6">
            <w:pPr>
              <w:autoSpaceDE w:val="0"/>
              <w:autoSpaceDN w:val="0"/>
              <w:adjustRightInd w:val="0"/>
              <w:spacing w:after="0" w:line="0" w:lineRule="atLeast"/>
              <w:rPr>
                <w:rFonts w:ascii="Arial" w:hAnsi="Arial" w:cs="Arial"/>
                <w:b/>
                <w:bCs/>
                <w:color w:val="000000"/>
                <w:sz w:val="20"/>
                <w:szCs w:val="20"/>
              </w:rPr>
            </w:pPr>
            <w:r w:rsidRPr="009B1780">
              <w:rPr>
                <w:rFonts w:ascii="Arial" w:hAnsi="Arial" w:cs="Arial"/>
                <w:b/>
                <w:bCs/>
                <w:color w:val="000000"/>
                <w:sz w:val="20"/>
                <w:szCs w:val="20"/>
              </w:rPr>
              <w:t>Net assets acquired</w:t>
            </w:r>
          </w:p>
        </w:tc>
        <w:tc>
          <w:tcPr>
            <w:tcW w:w="1531" w:type="dxa"/>
            <w:tcBorders>
              <w:top w:val="single" w:sz="4" w:space="0" w:color="auto"/>
              <w:bottom w:val="single" w:sz="4" w:space="0" w:color="auto"/>
            </w:tcBorders>
            <w:vAlign w:val="bottom"/>
          </w:tcPr>
          <w:p w14:paraId="37CAEC48" w14:textId="77777777" w:rsidR="008C676E" w:rsidRPr="009B178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7ED75607" w14:textId="77777777" w:rsidR="008C676E" w:rsidRPr="009B1780" w:rsidRDefault="008C676E" w:rsidP="00AB1DC6">
            <w:pPr>
              <w:autoSpaceDE w:val="0"/>
              <w:autoSpaceDN w:val="0"/>
              <w:adjustRightInd w:val="0"/>
              <w:spacing w:after="0" w:line="0" w:lineRule="atLeast"/>
              <w:jc w:val="right"/>
              <w:rPr>
                <w:rFonts w:ascii="Arial" w:hAnsi="Arial" w:cs="Arial"/>
                <w:b/>
                <w:bCs/>
                <w:color w:val="000000"/>
                <w:sz w:val="20"/>
                <w:szCs w:val="20"/>
              </w:rPr>
            </w:pPr>
            <w:r w:rsidRPr="009B1780">
              <w:rPr>
                <w:rFonts w:ascii="Arial" w:hAnsi="Arial" w:cs="Arial"/>
                <w:b/>
                <w:bCs/>
                <w:color w:val="000000"/>
                <w:sz w:val="20"/>
                <w:szCs w:val="20"/>
              </w:rPr>
              <w:t xml:space="preserve">3.1 </w:t>
            </w:r>
          </w:p>
        </w:tc>
      </w:tr>
      <w:tr w:rsidR="008C676E" w:rsidRPr="004D7811" w14:paraId="59BCA5CC" w14:textId="77777777" w:rsidTr="00AB1DC6">
        <w:trPr>
          <w:trHeight w:val="283"/>
        </w:trPr>
        <w:tc>
          <w:tcPr>
            <w:tcW w:w="6690" w:type="dxa"/>
            <w:tcBorders>
              <w:top w:val="single" w:sz="4" w:space="0" w:color="auto"/>
              <w:bottom w:val="single" w:sz="4" w:space="0" w:color="auto"/>
            </w:tcBorders>
            <w:shd w:val="clear" w:color="auto" w:fill="auto"/>
            <w:vAlign w:val="bottom"/>
          </w:tcPr>
          <w:p w14:paraId="3E7A2BB5"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Goodwill</w:t>
            </w:r>
          </w:p>
        </w:tc>
        <w:tc>
          <w:tcPr>
            <w:tcW w:w="1531" w:type="dxa"/>
            <w:tcBorders>
              <w:top w:val="single" w:sz="4" w:space="0" w:color="auto"/>
              <w:bottom w:val="single" w:sz="4" w:space="0" w:color="auto"/>
            </w:tcBorders>
            <w:vAlign w:val="bottom"/>
          </w:tcPr>
          <w:p w14:paraId="6FEB887B"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39DFCCB2"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sidRPr="00C10C3F">
              <w:rPr>
                <w:rFonts w:ascii="Arial" w:hAnsi="Arial" w:cs="Arial"/>
                <w:color w:val="000000"/>
                <w:sz w:val="20"/>
                <w:szCs w:val="20"/>
              </w:rPr>
              <w:t xml:space="preserve">3.3 </w:t>
            </w:r>
          </w:p>
        </w:tc>
      </w:tr>
      <w:tr w:rsidR="008C676E" w:rsidRPr="004D7811" w14:paraId="14FBE541" w14:textId="77777777" w:rsidTr="00AB1DC6">
        <w:trPr>
          <w:trHeight w:val="283"/>
        </w:trPr>
        <w:tc>
          <w:tcPr>
            <w:tcW w:w="6690" w:type="dxa"/>
            <w:tcBorders>
              <w:top w:val="single" w:sz="4" w:space="0" w:color="auto"/>
              <w:bottom w:val="single" w:sz="4" w:space="0" w:color="auto"/>
            </w:tcBorders>
            <w:shd w:val="clear" w:color="auto" w:fill="auto"/>
            <w:vAlign w:val="bottom"/>
          </w:tcPr>
          <w:p w14:paraId="35317AD9" w14:textId="77777777" w:rsidR="008C676E" w:rsidRPr="00187457" w:rsidRDefault="008C676E" w:rsidP="00AB1DC6">
            <w:pPr>
              <w:autoSpaceDE w:val="0"/>
              <w:autoSpaceDN w:val="0"/>
              <w:adjustRightInd w:val="0"/>
              <w:spacing w:after="0" w:line="0" w:lineRule="atLeast"/>
              <w:rPr>
                <w:rFonts w:ascii="Arial" w:hAnsi="Arial" w:cs="Arial"/>
                <w:b/>
                <w:bCs/>
                <w:color w:val="000000"/>
                <w:sz w:val="20"/>
                <w:szCs w:val="20"/>
              </w:rPr>
            </w:pPr>
            <w:r w:rsidRPr="00187457">
              <w:rPr>
                <w:rFonts w:ascii="Arial" w:hAnsi="Arial" w:cs="Arial"/>
                <w:b/>
                <w:bCs/>
                <w:color w:val="000000"/>
                <w:sz w:val="20"/>
                <w:szCs w:val="20"/>
              </w:rPr>
              <w:t>Consideration</w:t>
            </w:r>
          </w:p>
        </w:tc>
        <w:tc>
          <w:tcPr>
            <w:tcW w:w="1531" w:type="dxa"/>
            <w:tcBorders>
              <w:top w:val="single" w:sz="4" w:space="0" w:color="auto"/>
              <w:bottom w:val="single" w:sz="4" w:space="0" w:color="auto"/>
            </w:tcBorders>
            <w:vAlign w:val="bottom"/>
          </w:tcPr>
          <w:p w14:paraId="46429459" w14:textId="77777777" w:rsidR="008C676E" w:rsidRPr="00187457"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0341F90C" w14:textId="77777777" w:rsidR="008C676E" w:rsidRPr="00187457" w:rsidRDefault="008C676E" w:rsidP="00AB1DC6">
            <w:pPr>
              <w:autoSpaceDE w:val="0"/>
              <w:autoSpaceDN w:val="0"/>
              <w:adjustRightInd w:val="0"/>
              <w:spacing w:after="0" w:line="0" w:lineRule="atLeast"/>
              <w:jc w:val="right"/>
              <w:rPr>
                <w:rFonts w:ascii="Arial" w:hAnsi="Arial" w:cs="Arial"/>
                <w:b/>
                <w:bCs/>
                <w:color w:val="000000"/>
                <w:sz w:val="20"/>
                <w:szCs w:val="20"/>
              </w:rPr>
            </w:pPr>
            <w:r w:rsidRPr="00187457">
              <w:rPr>
                <w:rFonts w:ascii="Arial" w:hAnsi="Arial" w:cs="Arial"/>
                <w:b/>
                <w:bCs/>
                <w:color w:val="000000"/>
                <w:sz w:val="20"/>
                <w:szCs w:val="20"/>
              </w:rPr>
              <w:t xml:space="preserve">6.4 </w:t>
            </w:r>
          </w:p>
        </w:tc>
      </w:tr>
      <w:tr w:rsidR="008C676E" w:rsidRPr="004D7811" w14:paraId="130B4B18" w14:textId="77777777" w:rsidTr="00AB1DC6">
        <w:trPr>
          <w:trHeight w:val="283"/>
        </w:trPr>
        <w:tc>
          <w:tcPr>
            <w:tcW w:w="6690" w:type="dxa"/>
            <w:tcBorders>
              <w:top w:val="single" w:sz="4" w:space="0" w:color="auto"/>
            </w:tcBorders>
            <w:shd w:val="clear" w:color="auto" w:fill="auto"/>
            <w:vAlign w:val="bottom"/>
          </w:tcPr>
          <w:p w14:paraId="1E96A252"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Satisfied by:</w:t>
            </w:r>
          </w:p>
        </w:tc>
        <w:tc>
          <w:tcPr>
            <w:tcW w:w="1531" w:type="dxa"/>
            <w:tcBorders>
              <w:top w:val="single" w:sz="4" w:space="0" w:color="auto"/>
            </w:tcBorders>
            <w:vAlign w:val="bottom"/>
          </w:tcPr>
          <w:p w14:paraId="13DDD4A5"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tcBorders>
            <w:shd w:val="clear" w:color="auto" w:fill="auto"/>
            <w:vAlign w:val="bottom"/>
          </w:tcPr>
          <w:p w14:paraId="403381E7"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0DE2087C" w14:textId="77777777" w:rsidTr="00AB1DC6">
        <w:trPr>
          <w:trHeight w:val="283"/>
        </w:trPr>
        <w:tc>
          <w:tcPr>
            <w:tcW w:w="6690" w:type="dxa"/>
            <w:shd w:val="clear" w:color="auto" w:fill="auto"/>
            <w:vAlign w:val="bottom"/>
          </w:tcPr>
          <w:p w14:paraId="334C98D5"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Cash to vendors</w:t>
            </w:r>
          </w:p>
        </w:tc>
        <w:tc>
          <w:tcPr>
            <w:tcW w:w="1531" w:type="dxa"/>
            <w:vAlign w:val="bottom"/>
          </w:tcPr>
          <w:p w14:paraId="1C8FF74D"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5A0F093B"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5.5</w:t>
            </w:r>
          </w:p>
        </w:tc>
      </w:tr>
      <w:tr w:rsidR="008C676E" w:rsidRPr="004D7811" w14:paraId="2650F684" w14:textId="77777777" w:rsidTr="00AB1DC6">
        <w:trPr>
          <w:trHeight w:val="283"/>
        </w:trPr>
        <w:tc>
          <w:tcPr>
            <w:tcW w:w="6690" w:type="dxa"/>
            <w:tcBorders>
              <w:bottom w:val="double" w:sz="4" w:space="0" w:color="auto"/>
            </w:tcBorders>
            <w:shd w:val="clear" w:color="auto" w:fill="auto"/>
            <w:vAlign w:val="bottom"/>
          </w:tcPr>
          <w:p w14:paraId="336C2DAD"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Contingent cash consideration to vendors</w:t>
            </w:r>
          </w:p>
        </w:tc>
        <w:tc>
          <w:tcPr>
            <w:tcW w:w="1531" w:type="dxa"/>
            <w:tcBorders>
              <w:bottom w:val="double" w:sz="4" w:space="0" w:color="auto"/>
            </w:tcBorders>
            <w:vAlign w:val="bottom"/>
          </w:tcPr>
          <w:p w14:paraId="58211B44"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bottom w:val="double" w:sz="4" w:space="0" w:color="auto"/>
            </w:tcBorders>
            <w:shd w:val="clear" w:color="auto" w:fill="auto"/>
            <w:vAlign w:val="bottom"/>
          </w:tcPr>
          <w:p w14:paraId="091FDC3E"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0.9</w:t>
            </w:r>
          </w:p>
        </w:tc>
      </w:tr>
    </w:tbl>
    <w:p w14:paraId="0B0DDE14" w14:textId="77777777" w:rsidR="008C676E" w:rsidRPr="004D7811" w:rsidRDefault="008C676E" w:rsidP="008C676E">
      <w:pPr>
        <w:spacing w:after="0" w:line="240" w:lineRule="auto"/>
        <w:jc w:val="both"/>
        <w:rPr>
          <w:rFonts w:ascii="Arial" w:hAnsi="Arial" w:cs="Arial"/>
          <w:sz w:val="20"/>
          <w:szCs w:val="20"/>
          <w:highlight w:val="yellow"/>
        </w:rPr>
      </w:pPr>
    </w:p>
    <w:p w14:paraId="2E0D5A9E" w14:textId="1E1D60DC" w:rsidR="008C676E" w:rsidRDefault="008C676E" w:rsidP="008C676E">
      <w:pPr>
        <w:spacing w:after="0" w:line="240" w:lineRule="auto"/>
        <w:jc w:val="both"/>
        <w:rPr>
          <w:rFonts w:ascii="Arial" w:hAnsi="Arial" w:cs="Arial"/>
          <w:sz w:val="20"/>
          <w:szCs w:val="20"/>
        </w:rPr>
      </w:pPr>
      <w:r w:rsidRPr="003758C2">
        <w:rPr>
          <w:rFonts w:ascii="Arial" w:hAnsi="Arial" w:cs="Arial"/>
          <w:sz w:val="20"/>
          <w:szCs w:val="20"/>
        </w:rPr>
        <w:t xml:space="preserve">If the acquisition had been completed on the first day of the financial year Victory Fire would have </w:t>
      </w:r>
      <w:r w:rsidR="00BA6D8B">
        <w:rPr>
          <w:rFonts w:ascii="Arial" w:hAnsi="Arial" w:cs="Arial"/>
          <w:sz w:val="20"/>
          <w:szCs w:val="20"/>
        </w:rPr>
        <w:t xml:space="preserve">contributed </w:t>
      </w:r>
      <w:r w:rsidRPr="003758C2">
        <w:rPr>
          <w:rFonts w:ascii="Arial" w:hAnsi="Arial" w:cs="Arial"/>
          <w:sz w:val="20"/>
          <w:szCs w:val="20"/>
        </w:rPr>
        <w:t>£2.0m revenue and £0.7m profit before tax.</w:t>
      </w:r>
      <w:r>
        <w:rPr>
          <w:rFonts w:ascii="Arial" w:hAnsi="Arial" w:cs="Arial"/>
          <w:sz w:val="20"/>
          <w:szCs w:val="20"/>
        </w:rPr>
        <w:t xml:space="preserve"> </w:t>
      </w:r>
    </w:p>
    <w:p w14:paraId="515A1F76" w14:textId="77777777" w:rsidR="008C676E" w:rsidRDefault="008C676E" w:rsidP="008C676E">
      <w:pPr>
        <w:spacing w:after="0" w:line="240" w:lineRule="auto"/>
        <w:jc w:val="both"/>
        <w:rPr>
          <w:rFonts w:ascii="Arial" w:hAnsi="Arial" w:cs="Arial"/>
          <w:sz w:val="20"/>
          <w:szCs w:val="20"/>
        </w:rPr>
      </w:pPr>
    </w:p>
    <w:p w14:paraId="6476149A" w14:textId="6E5B6670" w:rsidR="008C676E" w:rsidRDefault="008C676E" w:rsidP="008C676E">
      <w:pPr>
        <w:spacing w:after="0" w:line="240" w:lineRule="auto"/>
        <w:jc w:val="both"/>
        <w:rPr>
          <w:rFonts w:ascii="Arial" w:hAnsi="Arial" w:cs="Arial"/>
          <w:sz w:val="20"/>
          <w:szCs w:val="20"/>
        </w:rPr>
      </w:pPr>
      <w:r w:rsidRPr="004D6522">
        <w:rPr>
          <w:rFonts w:ascii="Arial" w:hAnsi="Arial" w:cs="Arial"/>
          <w:sz w:val="20"/>
          <w:szCs w:val="20"/>
        </w:rPr>
        <w:t>Post completion, the acquisition of Victory Fire contributed £2.0m revenue and £0.7m profit before tax.</w:t>
      </w:r>
    </w:p>
    <w:p w14:paraId="55612C50" w14:textId="77777777" w:rsidR="008A1149" w:rsidRPr="008C676E" w:rsidRDefault="008A1149" w:rsidP="008C676E">
      <w:pPr>
        <w:spacing w:after="0" w:line="240" w:lineRule="auto"/>
        <w:jc w:val="both"/>
        <w:rPr>
          <w:rFonts w:ascii="Arial" w:hAnsi="Arial" w:cs="Arial"/>
          <w:sz w:val="20"/>
          <w:szCs w:val="20"/>
        </w:rPr>
      </w:pPr>
    </w:p>
    <w:p w14:paraId="2101451E" w14:textId="77777777" w:rsidR="008C676E" w:rsidRPr="00700EED" w:rsidRDefault="008C676E" w:rsidP="008C676E">
      <w:pPr>
        <w:spacing w:after="0" w:line="240" w:lineRule="auto"/>
        <w:jc w:val="both"/>
        <w:rPr>
          <w:rFonts w:ascii="Arial" w:hAnsi="Arial" w:cs="Arial"/>
          <w:sz w:val="20"/>
          <w:szCs w:val="20"/>
          <w:highlight w:val="yellow"/>
          <w:u w:val="single"/>
        </w:rPr>
      </w:pPr>
      <w:r w:rsidRPr="00700EED">
        <w:rPr>
          <w:rFonts w:ascii="Arial" w:hAnsi="Arial" w:cs="Arial"/>
          <w:sz w:val="20"/>
          <w:szCs w:val="20"/>
          <w:u w:val="single"/>
        </w:rPr>
        <w:t xml:space="preserve">Acquisition of </w:t>
      </w:r>
      <w:proofErr w:type="spellStart"/>
      <w:r w:rsidRPr="00700EED">
        <w:rPr>
          <w:rFonts w:ascii="Arial" w:hAnsi="Arial" w:cs="Arial"/>
          <w:sz w:val="20"/>
          <w:szCs w:val="20"/>
          <w:u w:val="single"/>
        </w:rPr>
        <w:t>Clymac</w:t>
      </w:r>
      <w:proofErr w:type="spellEnd"/>
      <w:r w:rsidRPr="00700EED">
        <w:rPr>
          <w:rFonts w:ascii="Arial" w:hAnsi="Arial" w:cs="Arial"/>
          <w:sz w:val="20"/>
          <w:szCs w:val="20"/>
          <w:u w:val="single"/>
        </w:rPr>
        <w:t xml:space="preserve"> Limited</w:t>
      </w:r>
    </w:p>
    <w:p w14:paraId="48C55C53" w14:textId="77777777" w:rsidR="008C676E" w:rsidRDefault="008C676E" w:rsidP="008C676E">
      <w:pPr>
        <w:spacing w:after="0" w:line="240" w:lineRule="auto"/>
        <w:jc w:val="both"/>
        <w:rPr>
          <w:rFonts w:ascii="Arial" w:hAnsi="Arial" w:cs="Arial"/>
          <w:sz w:val="20"/>
          <w:szCs w:val="20"/>
          <w:highlight w:val="yellow"/>
        </w:rPr>
      </w:pPr>
    </w:p>
    <w:p w14:paraId="5673C07B" w14:textId="77777777" w:rsidR="008C676E" w:rsidRPr="00700EED" w:rsidRDefault="008C676E" w:rsidP="008C676E">
      <w:pPr>
        <w:spacing w:after="0" w:line="240" w:lineRule="auto"/>
        <w:jc w:val="both"/>
        <w:rPr>
          <w:rFonts w:ascii="Arial" w:hAnsi="Arial" w:cs="Arial"/>
          <w:sz w:val="20"/>
          <w:szCs w:val="20"/>
        </w:rPr>
      </w:pPr>
      <w:r w:rsidRPr="00700EED">
        <w:rPr>
          <w:rFonts w:ascii="Arial" w:hAnsi="Arial" w:cs="Arial"/>
          <w:sz w:val="20"/>
          <w:szCs w:val="20"/>
        </w:rPr>
        <w:t xml:space="preserve">On 13 April 2023 the Group acquired </w:t>
      </w:r>
      <w:proofErr w:type="spellStart"/>
      <w:r w:rsidRPr="00700EED">
        <w:rPr>
          <w:rFonts w:ascii="Arial" w:hAnsi="Arial" w:cs="Arial"/>
          <w:sz w:val="20"/>
          <w:szCs w:val="20"/>
        </w:rPr>
        <w:t>Clymac</w:t>
      </w:r>
      <w:proofErr w:type="spellEnd"/>
      <w:r w:rsidRPr="00700EED">
        <w:rPr>
          <w:rFonts w:ascii="Arial" w:hAnsi="Arial" w:cs="Arial"/>
          <w:sz w:val="20"/>
          <w:szCs w:val="20"/>
        </w:rPr>
        <w:t xml:space="preserve"> Limited (“</w:t>
      </w:r>
      <w:proofErr w:type="spellStart"/>
      <w:r w:rsidRPr="00700EED">
        <w:rPr>
          <w:rFonts w:ascii="Arial" w:hAnsi="Arial" w:cs="Arial"/>
          <w:sz w:val="20"/>
          <w:szCs w:val="20"/>
        </w:rPr>
        <w:t>Clymac</w:t>
      </w:r>
      <w:proofErr w:type="spellEnd"/>
      <w:r w:rsidRPr="00700EED">
        <w:rPr>
          <w:rFonts w:ascii="Arial" w:hAnsi="Arial" w:cs="Arial"/>
          <w:sz w:val="20"/>
          <w:szCs w:val="20"/>
        </w:rPr>
        <w:t xml:space="preserve">”), a provider </w:t>
      </w:r>
      <w:r>
        <w:rPr>
          <w:rFonts w:ascii="Arial" w:hAnsi="Arial" w:cs="Arial"/>
          <w:sz w:val="20"/>
          <w:szCs w:val="20"/>
        </w:rPr>
        <w:t>o</w:t>
      </w:r>
      <w:r w:rsidRPr="00700EED">
        <w:rPr>
          <w:rFonts w:ascii="Arial" w:hAnsi="Arial" w:cs="Arial"/>
          <w:sz w:val="20"/>
          <w:szCs w:val="20"/>
        </w:rPr>
        <w:t xml:space="preserve">f fire installation and maintenance services for a total consideration of £8.5m, satisfied by the payment of £8.2m in cash on completion, £0.3m payable subject to the satisfactory completion of certain integration tasks by the acquired business 3 months post-acquisition. </w:t>
      </w:r>
    </w:p>
    <w:p w14:paraId="31AC10D7" w14:textId="77777777" w:rsidR="008C676E" w:rsidRPr="00700EED" w:rsidRDefault="008C676E" w:rsidP="008C676E">
      <w:pPr>
        <w:spacing w:after="0" w:line="240" w:lineRule="auto"/>
        <w:jc w:val="both"/>
        <w:rPr>
          <w:rFonts w:ascii="Arial" w:hAnsi="Arial" w:cs="Arial"/>
          <w:sz w:val="20"/>
          <w:szCs w:val="20"/>
        </w:rPr>
      </w:pPr>
    </w:p>
    <w:p w14:paraId="310EDFFF" w14:textId="77777777" w:rsidR="008C676E" w:rsidRDefault="008C676E" w:rsidP="008C676E">
      <w:pPr>
        <w:spacing w:after="0" w:line="240" w:lineRule="auto"/>
        <w:jc w:val="both"/>
        <w:rPr>
          <w:rFonts w:ascii="Arial" w:hAnsi="Arial" w:cs="Arial"/>
          <w:sz w:val="20"/>
          <w:szCs w:val="20"/>
        </w:rPr>
      </w:pPr>
      <w:r w:rsidRPr="00700EED">
        <w:rPr>
          <w:rFonts w:ascii="Arial" w:hAnsi="Arial" w:cs="Arial"/>
          <w:sz w:val="20"/>
          <w:szCs w:val="20"/>
        </w:rPr>
        <w:t xml:space="preserve">One hundred percent of the equity of </w:t>
      </w:r>
      <w:proofErr w:type="spellStart"/>
      <w:r w:rsidRPr="00700EED">
        <w:rPr>
          <w:rFonts w:ascii="Arial" w:hAnsi="Arial" w:cs="Arial"/>
          <w:sz w:val="20"/>
          <w:szCs w:val="20"/>
        </w:rPr>
        <w:t>Clymac</w:t>
      </w:r>
      <w:proofErr w:type="spellEnd"/>
      <w:r w:rsidRPr="00700EED">
        <w:rPr>
          <w:rFonts w:ascii="Arial" w:hAnsi="Arial" w:cs="Arial"/>
          <w:sz w:val="20"/>
          <w:szCs w:val="20"/>
        </w:rPr>
        <w:t xml:space="preserve"> was acquired in this transaction. Deferred tax has been provided on the value of the intangible assets at the tax rate applicable at the time the asset is expected to be realised. Acquisition costs </w:t>
      </w:r>
      <w:r w:rsidRPr="00CA0861">
        <w:rPr>
          <w:rFonts w:ascii="Arial" w:hAnsi="Arial" w:cs="Arial"/>
          <w:sz w:val="20"/>
          <w:szCs w:val="20"/>
        </w:rPr>
        <w:t xml:space="preserve">of </w:t>
      </w:r>
      <w:r w:rsidRPr="00A43702">
        <w:rPr>
          <w:rFonts w:ascii="Arial" w:hAnsi="Arial" w:cs="Arial"/>
          <w:sz w:val="20"/>
          <w:szCs w:val="20"/>
        </w:rPr>
        <w:t>£</w:t>
      </w:r>
      <w:r w:rsidRPr="00CA0861">
        <w:rPr>
          <w:rFonts w:ascii="Arial" w:hAnsi="Arial" w:cs="Arial"/>
          <w:sz w:val="20"/>
          <w:szCs w:val="20"/>
        </w:rPr>
        <w:t>0.</w:t>
      </w:r>
      <w:r>
        <w:rPr>
          <w:rFonts w:ascii="Arial" w:hAnsi="Arial" w:cs="Arial"/>
          <w:sz w:val="20"/>
          <w:szCs w:val="20"/>
        </w:rPr>
        <w:t>1</w:t>
      </w:r>
      <w:r w:rsidRPr="00CA0861">
        <w:rPr>
          <w:rFonts w:ascii="Arial" w:hAnsi="Arial" w:cs="Arial"/>
          <w:sz w:val="20"/>
          <w:szCs w:val="20"/>
        </w:rPr>
        <w:t>m have been charged to profit o</w:t>
      </w:r>
      <w:r w:rsidRPr="00700EED">
        <w:rPr>
          <w:rFonts w:ascii="Arial" w:hAnsi="Arial" w:cs="Arial"/>
          <w:sz w:val="20"/>
          <w:szCs w:val="20"/>
        </w:rPr>
        <w:t>r loss.</w:t>
      </w:r>
    </w:p>
    <w:p w14:paraId="02DB6270" w14:textId="77777777" w:rsidR="0051500E" w:rsidRDefault="0051500E" w:rsidP="008C676E">
      <w:pPr>
        <w:spacing w:after="0" w:line="240" w:lineRule="auto"/>
        <w:jc w:val="both"/>
        <w:rPr>
          <w:rFonts w:ascii="Arial" w:hAnsi="Arial" w:cs="Arial"/>
          <w:sz w:val="20"/>
          <w:szCs w:val="20"/>
        </w:rPr>
      </w:pPr>
    </w:p>
    <w:p w14:paraId="6D188A57" w14:textId="77777777" w:rsidR="0051500E" w:rsidRDefault="0051500E" w:rsidP="008C676E">
      <w:pPr>
        <w:spacing w:after="0" w:line="240" w:lineRule="auto"/>
        <w:jc w:val="both"/>
        <w:rPr>
          <w:rFonts w:ascii="Arial" w:hAnsi="Arial" w:cs="Arial"/>
          <w:sz w:val="20"/>
          <w:szCs w:val="20"/>
        </w:rPr>
      </w:pPr>
    </w:p>
    <w:p w14:paraId="0DA76FBE" w14:textId="77777777" w:rsidR="0051500E" w:rsidRDefault="0051500E" w:rsidP="008C676E">
      <w:pPr>
        <w:spacing w:after="0" w:line="240" w:lineRule="auto"/>
        <w:jc w:val="both"/>
        <w:rPr>
          <w:rFonts w:ascii="Arial" w:hAnsi="Arial" w:cs="Arial"/>
          <w:sz w:val="20"/>
          <w:szCs w:val="20"/>
        </w:rPr>
      </w:pPr>
    </w:p>
    <w:p w14:paraId="3C1A4244" w14:textId="77777777" w:rsidR="0051500E" w:rsidRDefault="0051500E" w:rsidP="008C676E">
      <w:pPr>
        <w:spacing w:after="0" w:line="240" w:lineRule="auto"/>
        <w:jc w:val="both"/>
        <w:rPr>
          <w:rFonts w:ascii="Arial" w:hAnsi="Arial" w:cs="Arial"/>
          <w:sz w:val="20"/>
          <w:szCs w:val="20"/>
        </w:rPr>
      </w:pPr>
    </w:p>
    <w:p w14:paraId="30B2CA64" w14:textId="77777777" w:rsidR="0051500E" w:rsidRDefault="0051500E" w:rsidP="008C676E">
      <w:pPr>
        <w:spacing w:after="0" w:line="240" w:lineRule="auto"/>
        <w:jc w:val="both"/>
        <w:rPr>
          <w:rFonts w:ascii="Arial" w:hAnsi="Arial" w:cs="Arial"/>
          <w:sz w:val="20"/>
          <w:szCs w:val="20"/>
        </w:rPr>
      </w:pPr>
    </w:p>
    <w:p w14:paraId="06CA230E" w14:textId="77777777" w:rsidR="0051500E" w:rsidRDefault="0051500E" w:rsidP="008C676E">
      <w:pPr>
        <w:spacing w:after="0" w:line="240" w:lineRule="auto"/>
        <w:jc w:val="both"/>
        <w:rPr>
          <w:rFonts w:ascii="Arial" w:hAnsi="Arial" w:cs="Arial"/>
          <w:sz w:val="20"/>
          <w:szCs w:val="20"/>
        </w:rPr>
      </w:pPr>
    </w:p>
    <w:p w14:paraId="51D52046" w14:textId="77777777" w:rsidR="0051500E" w:rsidRDefault="0051500E" w:rsidP="008C676E">
      <w:pPr>
        <w:spacing w:after="0" w:line="240" w:lineRule="auto"/>
        <w:jc w:val="both"/>
        <w:rPr>
          <w:rFonts w:ascii="Arial" w:hAnsi="Arial" w:cs="Arial"/>
          <w:sz w:val="20"/>
          <w:szCs w:val="20"/>
        </w:rPr>
      </w:pPr>
    </w:p>
    <w:p w14:paraId="1BE97048" w14:textId="77777777" w:rsidR="0051500E" w:rsidRDefault="0051500E" w:rsidP="008C676E">
      <w:pPr>
        <w:spacing w:after="0" w:line="240" w:lineRule="auto"/>
        <w:jc w:val="both"/>
        <w:rPr>
          <w:rFonts w:ascii="Arial" w:hAnsi="Arial" w:cs="Arial"/>
          <w:sz w:val="20"/>
          <w:szCs w:val="20"/>
        </w:rPr>
      </w:pPr>
    </w:p>
    <w:p w14:paraId="0CA471D2" w14:textId="77777777" w:rsidR="00A139D5" w:rsidRDefault="00A139D5" w:rsidP="008C676E">
      <w:pPr>
        <w:spacing w:after="0" w:line="240" w:lineRule="auto"/>
        <w:jc w:val="both"/>
        <w:rPr>
          <w:rFonts w:ascii="Arial" w:hAnsi="Arial" w:cs="Arial"/>
          <w:sz w:val="20"/>
          <w:szCs w:val="20"/>
        </w:rPr>
      </w:pPr>
    </w:p>
    <w:p w14:paraId="58E56CAF" w14:textId="77777777" w:rsidR="00A139D5" w:rsidRDefault="00A139D5" w:rsidP="008C676E">
      <w:pPr>
        <w:spacing w:after="0" w:line="240" w:lineRule="auto"/>
        <w:jc w:val="both"/>
        <w:rPr>
          <w:rFonts w:ascii="Arial" w:hAnsi="Arial" w:cs="Arial"/>
          <w:sz w:val="20"/>
          <w:szCs w:val="20"/>
        </w:rPr>
      </w:pPr>
    </w:p>
    <w:p w14:paraId="0D95DAD7" w14:textId="77777777" w:rsidR="0051500E" w:rsidRDefault="0051500E" w:rsidP="008C676E">
      <w:pPr>
        <w:spacing w:after="0" w:line="240" w:lineRule="auto"/>
        <w:jc w:val="both"/>
        <w:rPr>
          <w:rFonts w:ascii="Arial" w:hAnsi="Arial" w:cs="Arial"/>
          <w:sz w:val="20"/>
          <w:szCs w:val="20"/>
        </w:rPr>
      </w:pPr>
    </w:p>
    <w:p w14:paraId="7FEABE7F" w14:textId="77777777" w:rsidR="0051500E" w:rsidRDefault="0051500E" w:rsidP="008C676E">
      <w:pPr>
        <w:spacing w:after="0" w:line="240" w:lineRule="auto"/>
        <w:jc w:val="both"/>
        <w:rPr>
          <w:rFonts w:ascii="Arial" w:hAnsi="Arial" w:cs="Arial"/>
          <w:sz w:val="20"/>
          <w:szCs w:val="20"/>
        </w:rPr>
      </w:pPr>
    </w:p>
    <w:p w14:paraId="71BADCB9" w14:textId="77777777" w:rsidR="008C676E" w:rsidRDefault="008C676E" w:rsidP="008C676E">
      <w:pPr>
        <w:spacing w:after="0" w:line="240" w:lineRule="auto"/>
        <w:jc w:val="both"/>
        <w:rPr>
          <w:rFonts w:ascii="Arial" w:hAnsi="Arial" w:cs="Arial"/>
          <w:sz w:val="20"/>
          <w:szCs w:val="20"/>
        </w:rPr>
      </w:pPr>
    </w:p>
    <w:tbl>
      <w:tblPr>
        <w:tblW w:w="9752" w:type="dxa"/>
        <w:tblInd w:w="-30" w:type="dxa"/>
        <w:tblLayout w:type="fixed"/>
        <w:tblLook w:val="0000" w:firstRow="0" w:lastRow="0" w:firstColumn="0" w:lastColumn="0" w:noHBand="0" w:noVBand="0"/>
      </w:tblPr>
      <w:tblGrid>
        <w:gridCol w:w="6690"/>
        <w:gridCol w:w="1531"/>
        <w:gridCol w:w="1531"/>
      </w:tblGrid>
      <w:tr w:rsidR="008C676E" w:rsidRPr="004D7811" w14:paraId="250708A5" w14:textId="77777777" w:rsidTr="00AB1DC6">
        <w:trPr>
          <w:trHeight w:val="283"/>
        </w:trPr>
        <w:tc>
          <w:tcPr>
            <w:tcW w:w="6690" w:type="dxa"/>
            <w:vAlign w:val="bottom"/>
          </w:tcPr>
          <w:p w14:paraId="28B2900E"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vAlign w:val="bottom"/>
          </w:tcPr>
          <w:p w14:paraId="654D43D2"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vAlign w:val="bottom"/>
          </w:tcPr>
          <w:p w14:paraId="602FCE37" w14:textId="77777777" w:rsidR="008C676E" w:rsidRPr="00A43702" w:rsidRDefault="008C676E" w:rsidP="00AB1DC6">
            <w:pPr>
              <w:autoSpaceDE w:val="0"/>
              <w:autoSpaceDN w:val="0"/>
              <w:adjustRightInd w:val="0"/>
              <w:spacing w:after="0" w:line="0" w:lineRule="atLeast"/>
              <w:jc w:val="right"/>
              <w:rPr>
                <w:rFonts w:ascii="Arial" w:hAnsi="Arial" w:cs="Arial"/>
                <w:color w:val="000000"/>
                <w:sz w:val="20"/>
                <w:szCs w:val="20"/>
              </w:rPr>
            </w:pPr>
            <w:r w:rsidRPr="00A43702">
              <w:rPr>
                <w:rFonts w:ascii="Arial" w:hAnsi="Arial" w:cs="Arial"/>
                <w:b/>
                <w:bCs/>
                <w:color w:val="000000"/>
                <w:sz w:val="20"/>
                <w:szCs w:val="20"/>
              </w:rPr>
              <w:t>Fair value at acquisition</w:t>
            </w:r>
          </w:p>
        </w:tc>
      </w:tr>
      <w:tr w:rsidR="008C676E" w:rsidRPr="004D7811" w14:paraId="3CD9233E" w14:textId="77777777" w:rsidTr="00AB1DC6">
        <w:trPr>
          <w:trHeight w:val="283"/>
        </w:trPr>
        <w:tc>
          <w:tcPr>
            <w:tcW w:w="6690" w:type="dxa"/>
            <w:tcBorders>
              <w:bottom w:val="single" w:sz="4" w:space="0" w:color="auto"/>
            </w:tcBorders>
            <w:vAlign w:val="bottom"/>
          </w:tcPr>
          <w:p w14:paraId="19E374AA"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tcBorders>
              <w:bottom w:val="single" w:sz="4" w:space="0" w:color="auto"/>
            </w:tcBorders>
            <w:vAlign w:val="bottom"/>
          </w:tcPr>
          <w:p w14:paraId="45FF659D"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tcBorders>
              <w:bottom w:val="single" w:sz="4" w:space="0" w:color="auto"/>
            </w:tcBorders>
            <w:vAlign w:val="bottom"/>
          </w:tcPr>
          <w:p w14:paraId="71EA194A" w14:textId="77777777" w:rsidR="008C676E" w:rsidRPr="00A43702" w:rsidRDefault="008C676E" w:rsidP="00AB1DC6">
            <w:pPr>
              <w:autoSpaceDE w:val="0"/>
              <w:autoSpaceDN w:val="0"/>
              <w:adjustRightInd w:val="0"/>
              <w:spacing w:after="0" w:line="0" w:lineRule="atLeast"/>
              <w:jc w:val="right"/>
              <w:rPr>
                <w:rFonts w:ascii="Arial" w:hAnsi="Arial" w:cs="Arial"/>
                <w:b/>
                <w:bCs/>
                <w:color w:val="000000"/>
                <w:sz w:val="20"/>
                <w:szCs w:val="20"/>
              </w:rPr>
            </w:pPr>
            <w:r w:rsidRPr="00A43702">
              <w:rPr>
                <w:rFonts w:ascii="Arial" w:hAnsi="Arial" w:cs="Arial"/>
                <w:b/>
                <w:bCs/>
                <w:color w:val="000000"/>
                <w:sz w:val="20"/>
                <w:szCs w:val="20"/>
              </w:rPr>
              <w:t>£’m</w:t>
            </w:r>
          </w:p>
        </w:tc>
      </w:tr>
      <w:tr w:rsidR="008C676E" w:rsidRPr="004D7811" w14:paraId="41473165" w14:textId="77777777" w:rsidTr="00AB1DC6">
        <w:trPr>
          <w:trHeight w:val="283"/>
        </w:trPr>
        <w:tc>
          <w:tcPr>
            <w:tcW w:w="6690" w:type="dxa"/>
            <w:tcBorders>
              <w:top w:val="single" w:sz="4" w:space="0" w:color="auto"/>
            </w:tcBorders>
          </w:tcPr>
          <w:p w14:paraId="7129E8FF"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Intangible assets – customer relationships</w:t>
            </w:r>
          </w:p>
        </w:tc>
        <w:tc>
          <w:tcPr>
            <w:tcW w:w="1531" w:type="dxa"/>
            <w:tcBorders>
              <w:top w:val="single" w:sz="4" w:space="0" w:color="auto"/>
            </w:tcBorders>
            <w:vAlign w:val="bottom"/>
          </w:tcPr>
          <w:p w14:paraId="6FDC78EB"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Borders>
              <w:top w:val="single" w:sz="4" w:space="0" w:color="auto"/>
            </w:tcBorders>
            <w:vAlign w:val="bottom"/>
          </w:tcPr>
          <w:p w14:paraId="7817B9FE"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4.8</w:t>
            </w:r>
          </w:p>
        </w:tc>
      </w:tr>
      <w:tr w:rsidR="008C676E" w:rsidRPr="004D7811" w14:paraId="07A2F6B1" w14:textId="77777777" w:rsidTr="00AB1DC6">
        <w:trPr>
          <w:trHeight w:val="283"/>
        </w:trPr>
        <w:tc>
          <w:tcPr>
            <w:tcW w:w="6690" w:type="dxa"/>
          </w:tcPr>
          <w:p w14:paraId="633ECDB9"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Trade and other receivables</w:t>
            </w:r>
          </w:p>
        </w:tc>
        <w:tc>
          <w:tcPr>
            <w:tcW w:w="1531" w:type="dxa"/>
            <w:vAlign w:val="bottom"/>
          </w:tcPr>
          <w:p w14:paraId="7B6730D5"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vAlign w:val="bottom"/>
          </w:tcPr>
          <w:p w14:paraId="40C95A88"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1.9</w:t>
            </w:r>
          </w:p>
        </w:tc>
      </w:tr>
      <w:tr w:rsidR="008C676E" w:rsidRPr="004D7811" w14:paraId="5C5658A0" w14:textId="77777777" w:rsidTr="00AB1DC6">
        <w:trPr>
          <w:trHeight w:val="283"/>
        </w:trPr>
        <w:tc>
          <w:tcPr>
            <w:tcW w:w="6690" w:type="dxa"/>
          </w:tcPr>
          <w:p w14:paraId="11DE8B44"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Cash</w:t>
            </w:r>
          </w:p>
        </w:tc>
        <w:tc>
          <w:tcPr>
            <w:tcW w:w="1531" w:type="dxa"/>
            <w:vAlign w:val="bottom"/>
          </w:tcPr>
          <w:p w14:paraId="21917490"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vAlign w:val="bottom"/>
          </w:tcPr>
          <w:p w14:paraId="64318F61"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0.4</w:t>
            </w:r>
          </w:p>
        </w:tc>
      </w:tr>
      <w:tr w:rsidR="008C676E" w:rsidRPr="004D7811" w14:paraId="4D521B71" w14:textId="77777777" w:rsidTr="00AB1DC6">
        <w:trPr>
          <w:trHeight w:val="283"/>
        </w:trPr>
        <w:tc>
          <w:tcPr>
            <w:tcW w:w="6690" w:type="dxa"/>
            <w:shd w:val="clear" w:color="auto" w:fill="auto"/>
          </w:tcPr>
          <w:p w14:paraId="7792CA8A"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Inventories</w:t>
            </w:r>
          </w:p>
        </w:tc>
        <w:tc>
          <w:tcPr>
            <w:tcW w:w="1531" w:type="dxa"/>
            <w:vAlign w:val="bottom"/>
          </w:tcPr>
          <w:p w14:paraId="5570F6DC"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shd w:val="clear" w:color="auto" w:fill="auto"/>
            <w:vAlign w:val="bottom"/>
          </w:tcPr>
          <w:p w14:paraId="69BB30F5"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0.3</w:t>
            </w:r>
          </w:p>
        </w:tc>
      </w:tr>
      <w:tr w:rsidR="008C676E" w:rsidRPr="004D7811" w14:paraId="36A88F09" w14:textId="77777777" w:rsidTr="00AB1DC6">
        <w:trPr>
          <w:trHeight w:val="283"/>
        </w:trPr>
        <w:tc>
          <w:tcPr>
            <w:tcW w:w="6690" w:type="dxa"/>
            <w:shd w:val="clear" w:color="auto" w:fill="auto"/>
          </w:tcPr>
          <w:p w14:paraId="61F3A23A"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Right</w:t>
            </w:r>
            <w:r>
              <w:rPr>
                <w:rFonts w:ascii="Arial" w:hAnsi="Arial" w:cs="Arial"/>
                <w:color w:val="000000"/>
                <w:sz w:val="20"/>
                <w:szCs w:val="20"/>
              </w:rPr>
              <w:t>-</w:t>
            </w:r>
            <w:r w:rsidRPr="004D6522">
              <w:rPr>
                <w:rFonts w:ascii="Arial" w:hAnsi="Arial" w:cs="Arial"/>
                <w:color w:val="000000"/>
                <w:sz w:val="20"/>
                <w:szCs w:val="20"/>
              </w:rPr>
              <w:t>of</w:t>
            </w:r>
            <w:r>
              <w:rPr>
                <w:rFonts w:ascii="Arial" w:hAnsi="Arial" w:cs="Arial"/>
                <w:color w:val="000000"/>
                <w:sz w:val="20"/>
                <w:szCs w:val="20"/>
              </w:rPr>
              <w:t>-</w:t>
            </w:r>
            <w:r w:rsidRPr="004D6522">
              <w:rPr>
                <w:rFonts w:ascii="Arial" w:hAnsi="Arial" w:cs="Arial"/>
                <w:color w:val="000000"/>
                <w:sz w:val="20"/>
                <w:szCs w:val="20"/>
              </w:rPr>
              <w:t>use assets</w:t>
            </w:r>
          </w:p>
        </w:tc>
        <w:tc>
          <w:tcPr>
            <w:tcW w:w="1531" w:type="dxa"/>
            <w:vAlign w:val="bottom"/>
          </w:tcPr>
          <w:p w14:paraId="5AA385A7"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4E4B37CD"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0.1</w:t>
            </w:r>
          </w:p>
        </w:tc>
      </w:tr>
      <w:tr w:rsidR="008C676E" w:rsidRPr="004D7811" w14:paraId="7B3E367E" w14:textId="77777777" w:rsidTr="00AB1DC6">
        <w:trPr>
          <w:trHeight w:val="283"/>
        </w:trPr>
        <w:tc>
          <w:tcPr>
            <w:tcW w:w="6690" w:type="dxa"/>
            <w:shd w:val="clear" w:color="auto" w:fill="auto"/>
          </w:tcPr>
          <w:p w14:paraId="7B8424C2"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Property, plant and equipment</w:t>
            </w:r>
          </w:p>
        </w:tc>
        <w:tc>
          <w:tcPr>
            <w:tcW w:w="1531" w:type="dxa"/>
            <w:vAlign w:val="bottom"/>
          </w:tcPr>
          <w:p w14:paraId="1783142D"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1AA9B2D4"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0.1</w:t>
            </w:r>
          </w:p>
        </w:tc>
      </w:tr>
      <w:tr w:rsidR="008C676E" w:rsidRPr="004D7811" w14:paraId="74B632FA" w14:textId="77777777" w:rsidTr="00AB1DC6">
        <w:trPr>
          <w:trHeight w:val="283"/>
        </w:trPr>
        <w:tc>
          <w:tcPr>
            <w:tcW w:w="6690" w:type="dxa"/>
            <w:shd w:val="clear" w:color="auto" w:fill="auto"/>
          </w:tcPr>
          <w:p w14:paraId="1CBD8AEB"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Trade and other payables</w:t>
            </w:r>
          </w:p>
        </w:tc>
        <w:tc>
          <w:tcPr>
            <w:tcW w:w="1531" w:type="dxa"/>
            <w:vAlign w:val="bottom"/>
          </w:tcPr>
          <w:p w14:paraId="2E8718B0"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0FCADE13"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(3.0)</w:t>
            </w:r>
          </w:p>
        </w:tc>
      </w:tr>
      <w:tr w:rsidR="008C676E" w:rsidRPr="004D7811" w14:paraId="5D8C059F" w14:textId="77777777" w:rsidTr="00AB1DC6">
        <w:trPr>
          <w:trHeight w:val="283"/>
        </w:trPr>
        <w:tc>
          <w:tcPr>
            <w:tcW w:w="6690" w:type="dxa"/>
            <w:shd w:val="clear" w:color="auto" w:fill="auto"/>
          </w:tcPr>
          <w:p w14:paraId="0CCE83E1"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Deferred tax liabilities</w:t>
            </w:r>
          </w:p>
        </w:tc>
        <w:tc>
          <w:tcPr>
            <w:tcW w:w="1531" w:type="dxa"/>
            <w:vAlign w:val="bottom"/>
          </w:tcPr>
          <w:p w14:paraId="69A6074F"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217340DC"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(1.2)</w:t>
            </w:r>
          </w:p>
        </w:tc>
      </w:tr>
      <w:tr w:rsidR="008C676E" w:rsidRPr="004D7811" w14:paraId="0AEBFA46" w14:textId="77777777" w:rsidTr="00AB1DC6">
        <w:trPr>
          <w:trHeight w:val="283"/>
        </w:trPr>
        <w:tc>
          <w:tcPr>
            <w:tcW w:w="6690" w:type="dxa"/>
            <w:shd w:val="clear" w:color="auto" w:fill="auto"/>
          </w:tcPr>
          <w:p w14:paraId="5FC08C76"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4D6522">
              <w:rPr>
                <w:rFonts w:ascii="Arial" w:hAnsi="Arial" w:cs="Arial"/>
                <w:color w:val="000000"/>
                <w:sz w:val="20"/>
                <w:szCs w:val="20"/>
              </w:rPr>
              <w:t>Tax liabilities</w:t>
            </w:r>
          </w:p>
        </w:tc>
        <w:tc>
          <w:tcPr>
            <w:tcW w:w="1531" w:type="dxa"/>
            <w:vAlign w:val="bottom"/>
          </w:tcPr>
          <w:p w14:paraId="78D973B0"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49382B8F"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(0.1)</w:t>
            </w:r>
          </w:p>
        </w:tc>
      </w:tr>
      <w:tr w:rsidR="008C676E" w:rsidRPr="004D7811" w14:paraId="5E61BB8D" w14:textId="77777777" w:rsidTr="00AB1DC6">
        <w:trPr>
          <w:trHeight w:val="283"/>
        </w:trPr>
        <w:tc>
          <w:tcPr>
            <w:tcW w:w="6690" w:type="dxa"/>
            <w:tcBorders>
              <w:top w:val="single" w:sz="4" w:space="0" w:color="auto"/>
              <w:bottom w:val="single" w:sz="4" w:space="0" w:color="auto"/>
            </w:tcBorders>
            <w:shd w:val="clear" w:color="auto" w:fill="auto"/>
            <w:vAlign w:val="bottom"/>
          </w:tcPr>
          <w:p w14:paraId="19ED036F" w14:textId="77777777" w:rsidR="008C676E" w:rsidRPr="009B1780" w:rsidRDefault="008C676E" w:rsidP="00AB1DC6">
            <w:pPr>
              <w:autoSpaceDE w:val="0"/>
              <w:autoSpaceDN w:val="0"/>
              <w:adjustRightInd w:val="0"/>
              <w:spacing w:after="0" w:line="0" w:lineRule="atLeast"/>
              <w:rPr>
                <w:rFonts w:ascii="Arial" w:hAnsi="Arial" w:cs="Arial"/>
                <w:b/>
                <w:bCs/>
                <w:color w:val="000000"/>
                <w:sz w:val="20"/>
                <w:szCs w:val="20"/>
              </w:rPr>
            </w:pPr>
            <w:r w:rsidRPr="009B1780">
              <w:rPr>
                <w:rFonts w:ascii="Arial" w:hAnsi="Arial" w:cs="Arial"/>
                <w:b/>
                <w:bCs/>
                <w:color w:val="000000"/>
                <w:sz w:val="20"/>
                <w:szCs w:val="20"/>
              </w:rPr>
              <w:t>Net assets acquired</w:t>
            </w:r>
          </w:p>
        </w:tc>
        <w:tc>
          <w:tcPr>
            <w:tcW w:w="1531" w:type="dxa"/>
            <w:tcBorders>
              <w:top w:val="single" w:sz="4" w:space="0" w:color="auto"/>
              <w:bottom w:val="single" w:sz="4" w:space="0" w:color="auto"/>
            </w:tcBorders>
            <w:vAlign w:val="bottom"/>
          </w:tcPr>
          <w:p w14:paraId="34A96F0C" w14:textId="77777777" w:rsidR="008C676E" w:rsidRPr="009B178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63160243" w14:textId="77777777" w:rsidR="008C676E" w:rsidRPr="009B1780"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3.3</w:t>
            </w:r>
          </w:p>
        </w:tc>
      </w:tr>
      <w:tr w:rsidR="008C676E" w:rsidRPr="004D7811" w14:paraId="47B4BCE6" w14:textId="77777777" w:rsidTr="00AB1DC6">
        <w:trPr>
          <w:trHeight w:val="283"/>
        </w:trPr>
        <w:tc>
          <w:tcPr>
            <w:tcW w:w="6690" w:type="dxa"/>
            <w:tcBorders>
              <w:top w:val="single" w:sz="4" w:space="0" w:color="auto"/>
              <w:bottom w:val="single" w:sz="4" w:space="0" w:color="auto"/>
            </w:tcBorders>
            <w:shd w:val="clear" w:color="auto" w:fill="auto"/>
            <w:vAlign w:val="bottom"/>
          </w:tcPr>
          <w:p w14:paraId="6664E9AF"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Goodwill</w:t>
            </w:r>
          </w:p>
        </w:tc>
        <w:tc>
          <w:tcPr>
            <w:tcW w:w="1531" w:type="dxa"/>
            <w:tcBorders>
              <w:top w:val="single" w:sz="4" w:space="0" w:color="auto"/>
              <w:bottom w:val="single" w:sz="4" w:space="0" w:color="auto"/>
            </w:tcBorders>
            <w:vAlign w:val="bottom"/>
          </w:tcPr>
          <w:p w14:paraId="4865DA21"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066E11FD"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5.2</w:t>
            </w:r>
          </w:p>
        </w:tc>
      </w:tr>
      <w:tr w:rsidR="008C676E" w:rsidRPr="004D7811" w14:paraId="0526CFFB" w14:textId="77777777" w:rsidTr="00AB1DC6">
        <w:trPr>
          <w:trHeight w:val="283"/>
        </w:trPr>
        <w:tc>
          <w:tcPr>
            <w:tcW w:w="6690" w:type="dxa"/>
            <w:tcBorders>
              <w:top w:val="single" w:sz="4" w:space="0" w:color="auto"/>
              <w:bottom w:val="single" w:sz="4" w:space="0" w:color="auto"/>
            </w:tcBorders>
            <w:shd w:val="clear" w:color="auto" w:fill="auto"/>
            <w:vAlign w:val="bottom"/>
          </w:tcPr>
          <w:p w14:paraId="7BBFA0E9" w14:textId="77777777" w:rsidR="008C676E" w:rsidRPr="00187457" w:rsidRDefault="008C676E" w:rsidP="00AB1DC6">
            <w:pPr>
              <w:autoSpaceDE w:val="0"/>
              <w:autoSpaceDN w:val="0"/>
              <w:adjustRightInd w:val="0"/>
              <w:spacing w:after="0" w:line="0" w:lineRule="atLeast"/>
              <w:rPr>
                <w:rFonts w:ascii="Arial" w:hAnsi="Arial" w:cs="Arial"/>
                <w:b/>
                <w:bCs/>
                <w:color w:val="000000"/>
                <w:sz w:val="20"/>
                <w:szCs w:val="20"/>
              </w:rPr>
            </w:pPr>
            <w:r w:rsidRPr="00187457">
              <w:rPr>
                <w:rFonts w:ascii="Arial" w:hAnsi="Arial" w:cs="Arial"/>
                <w:b/>
                <w:bCs/>
                <w:color w:val="000000"/>
                <w:sz w:val="20"/>
                <w:szCs w:val="20"/>
              </w:rPr>
              <w:t>Consideration</w:t>
            </w:r>
          </w:p>
        </w:tc>
        <w:tc>
          <w:tcPr>
            <w:tcW w:w="1531" w:type="dxa"/>
            <w:tcBorders>
              <w:top w:val="single" w:sz="4" w:space="0" w:color="auto"/>
              <w:bottom w:val="single" w:sz="4" w:space="0" w:color="auto"/>
            </w:tcBorders>
            <w:vAlign w:val="bottom"/>
          </w:tcPr>
          <w:p w14:paraId="018D174A" w14:textId="77777777" w:rsidR="008C676E" w:rsidRPr="00187457"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1CC3231D" w14:textId="77777777" w:rsidR="008C676E" w:rsidRPr="00187457" w:rsidRDefault="008C676E" w:rsidP="00AB1DC6">
            <w:pPr>
              <w:autoSpaceDE w:val="0"/>
              <w:autoSpaceDN w:val="0"/>
              <w:adjustRightInd w:val="0"/>
              <w:spacing w:after="0" w:line="0" w:lineRule="atLeast"/>
              <w:jc w:val="right"/>
              <w:rPr>
                <w:rFonts w:ascii="Arial" w:hAnsi="Arial" w:cs="Arial"/>
                <w:b/>
                <w:bCs/>
                <w:color w:val="000000"/>
                <w:sz w:val="20"/>
                <w:szCs w:val="20"/>
              </w:rPr>
            </w:pPr>
            <w:r w:rsidRPr="00187457">
              <w:rPr>
                <w:rFonts w:ascii="Arial" w:hAnsi="Arial" w:cs="Arial"/>
                <w:b/>
                <w:bCs/>
                <w:color w:val="000000"/>
                <w:sz w:val="20"/>
                <w:szCs w:val="20"/>
              </w:rPr>
              <w:t>8.5</w:t>
            </w:r>
          </w:p>
        </w:tc>
      </w:tr>
      <w:tr w:rsidR="008C676E" w:rsidRPr="004D7811" w14:paraId="4C41EB2C" w14:textId="77777777" w:rsidTr="00AB1DC6">
        <w:trPr>
          <w:trHeight w:val="283"/>
        </w:trPr>
        <w:tc>
          <w:tcPr>
            <w:tcW w:w="6690" w:type="dxa"/>
            <w:tcBorders>
              <w:top w:val="single" w:sz="4" w:space="0" w:color="auto"/>
            </w:tcBorders>
            <w:shd w:val="clear" w:color="auto" w:fill="auto"/>
            <w:vAlign w:val="bottom"/>
          </w:tcPr>
          <w:p w14:paraId="3D0570E4"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Satisfied by:</w:t>
            </w:r>
          </w:p>
        </w:tc>
        <w:tc>
          <w:tcPr>
            <w:tcW w:w="1531" w:type="dxa"/>
            <w:tcBorders>
              <w:top w:val="single" w:sz="4" w:space="0" w:color="auto"/>
            </w:tcBorders>
            <w:vAlign w:val="bottom"/>
          </w:tcPr>
          <w:p w14:paraId="14C8AC77"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tcBorders>
            <w:shd w:val="clear" w:color="auto" w:fill="auto"/>
            <w:vAlign w:val="bottom"/>
          </w:tcPr>
          <w:p w14:paraId="718D13EA"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20C79AC9" w14:textId="77777777" w:rsidTr="00AB1DC6">
        <w:trPr>
          <w:trHeight w:val="283"/>
        </w:trPr>
        <w:tc>
          <w:tcPr>
            <w:tcW w:w="6690" w:type="dxa"/>
            <w:shd w:val="clear" w:color="auto" w:fill="auto"/>
            <w:vAlign w:val="bottom"/>
          </w:tcPr>
          <w:p w14:paraId="17E7D7DF"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Cash to vendors</w:t>
            </w:r>
          </w:p>
        </w:tc>
        <w:tc>
          <w:tcPr>
            <w:tcW w:w="1531" w:type="dxa"/>
            <w:vAlign w:val="bottom"/>
          </w:tcPr>
          <w:p w14:paraId="3451342B"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2A4B2B44"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8.2</w:t>
            </w:r>
          </w:p>
        </w:tc>
      </w:tr>
      <w:tr w:rsidR="008C676E" w:rsidRPr="004D7811" w14:paraId="1DA6EA7D" w14:textId="77777777" w:rsidTr="00AB1DC6">
        <w:trPr>
          <w:trHeight w:val="283"/>
        </w:trPr>
        <w:tc>
          <w:tcPr>
            <w:tcW w:w="6690" w:type="dxa"/>
            <w:tcBorders>
              <w:bottom w:val="double" w:sz="4" w:space="0" w:color="auto"/>
            </w:tcBorders>
            <w:shd w:val="clear" w:color="auto" w:fill="auto"/>
            <w:vAlign w:val="bottom"/>
          </w:tcPr>
          <w:p w14:paraId="2489C4A6"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Contingent cash consideration to vendors</w:t>
            </w:r>
          </w:p>
        </w:tc>
        <w:tc>
          <w:tcPr>
            <w:tcW w:w="1531" w:type="dxa"/>
            <w:tcBorders>
              <w:bottom w:val="double" w:sz="4" w:space="0" w:color="auto"/>
            </w:tcBorders>
            <w:vAlign w:val="bottom"/>
          </w:tcPr>
          <w:p w14:paraId="5449CD8D"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bottom w:val="double" w:sz="4" w:space="0" w:color="auto"/>
            </w:tcBorders>
            <w:shd w:val="clear" w:color="auto" w:fill="auto"/>
            <w:vAlign w:val="bottom"/>
          </w:tcPr>
          <w:p w14:paraId="2E5F6B5F"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0.3</w:t>
            </w:r>
          </w:p>
        </w:tc>
      </w:tr>
    </w:tbl>
    <w:p w14:paraId="277E821F" w14:textId="77777777" w:rsidR="008C676E" w:rsidRDefault="008C676E" w:rsidP="008C676E">
      <w:pPr>
        <w:spacing w:after="0" w:line="240" w:lineRule="auto"/>
        <w:jc w:val="both"/>
        <w:rPr>
          <w:rFonts w:ascii="Arial" w:hAnsi="Arial" w:cs="Arial"/>
          <w:sz w:val="20"/>
          <w:szCs w:val="20"/>
        </w:rPr>
      </w:pPr>
    </w:p>
    <w:p w14:paraId="3B52A864" w14:textId="77777777" w:rsidR="008C676E" w:rsidRDefault="008C676E" w:rsidP="008C676E">
      <w:pPr>
        <w:spacing w:after="0" w:line="240" w:lineRule="auto"/>
        <w:jc w:val="both"/>
        <w:rPr>
          <w:rFonts w:ascii="Arial" w:hAnsi="Arial" w:cs="Arial"/>
          <w:sz w:val="20"/>
          <w:szCs w:val="20"/>
          <w:highlight w:val="yellow"/>
        </w:rPr>
      </w:pPr>
      <w:r w:rsidRPr="00132747">
        <w:rPr>
          <w:rFonts w:ascii="Arial" w:hAnsi="Arial" w:cs="Arial"/>
          <w:sz w:val="20"/>
          <w:szCs w:val="20"/>
        </w:rPr>
        <w:t xml:space="preserve">If the acquisition had been completed on the first day of the financial year </w:t>
      </w:r>
      <w:proofErr w:type="spellStart"/>
      <w:r w:rsidRPr="00700EED">
        <w:rPr>
          <w:rFonts w:ascii="Arial" w:hAnsi="Arial" w:cs="Arial"/>
          <w:sz w:val="20"/>
          <w:szCs w:val="20"/>
        </w:rPr>
        <w:t>Clymac</w:t>
      </w:r>
      <w:proofErr w:type="spellEnd"/>
      <w:r w:rsidRPr="00132747">
        <w:rPr>
          <w:rFonts w:ascii="Arial" w:hAnsi="Arial" w:cs="Arial"/>
          <w:sz w:val="20"/>
          <w:szCs w:val="20"/>
        </w:rPr>
        <w:t xml:space="preserve"> would have generated £11.1m revenue and £0.8m profit before tax.</w:t>
      </w:r>
    </w:p>
    <w:p w14:paraId="6D12E8F4" w14:textId="77777777" w:rsidR="008C676E" w:rsidRDefault="008C676E" w:rsidP="008C676E">
      <w:pPr>
        <w:spacing w:after="0" w:line="240" w:lineRule="auto"/>
        <w:jc w:val="both"/>
        <w:rPr>
          <w:rFonts w:ascii="Arial" w:hAnsi="Arial" w:cs="Arial"/>
          <w:sz w:val="20"/>
          <w:szCs w:val="20"/>
          <w:highlight w:val="yellow"/>
        </w:rPr>
      </w:pPr>
    </w:p>
    <w:p w14:paraId="097FD6AC" w14:textId="77777777" w:rsidR="008C676E" w:rsidRDefault="008C676E" w:rsidP="008C676E">
      <w:pPr>
        <w:spacing w:after="0" w:line="240" w:lineRule="auto"/>
        <w:jc w:val="both"/>
        <w:rPr>
          <w:rFonts w:ascii="Arial" w:hAnsi="Arial" w:cs="Arial"/>
          <w:sz w:val="20"/>
          <w:szCs w:val="20"/>
          <w:highlight w:val="yellow"/>
        </w:rPr>
      </w:pPr>
      <w:r w:rsidRPr="00132747">
        <w:rPr>
          <w:rFonts w:ascii="Arial" w:hAnsi="Arial" w:cs="Arial"/>
          <w:sz w:val="20"/>
          <w:szCs w:val="20"/>
        </w:rPr>
        <w:t xml:space="preserve">Post completion, the acquisition of </w:t>
      </w:r>
      <w:proofErr w:type="spellStart"/>
      <w:r>
        <w:rPr>
          <w:rFonts w:ascii="Arial" w:hAnsi="Arial" w:cs="Arial"/>
          <w:sz w:val="20"/>
          <w:szCs w:val="20"/>
        </w:rPr>
        <w:t>Clymac</w:t>
      </w:r>
      <w:proofErr w:type="spellEnd"/>
      <w:r w:rsidRPr="00132747">
        <w:rPr>
          <w:rFonts w:ascii="Arial" w:hAnsi="Arial" w:cs="Arial"/>
          <w:sz w:val="20"/>
          <w:szCs w:val="20"/>
        </w:rPr>
        <w:t xml:space="preserve"> contributed £11.1m revenue and £0.8m profit before tax.</w:t>
      </w:r>
    </w:p>
    <w:p w14:paraId="085B4C0B" w14:textId="77777777" w:rsidR="008C676E" w:rsidRDefault="008C676E" w:rsidP="008C676E">
      <w:pPr>
        <w:spacing w:after="0" w:line="240" w:lineRule="auto"/>
        <w:jc w:val="both"/>
        <w:rPr>
          <w:rFonts w:ascii="Arial" w:hAnsi="Arial" w:cs="Arial"/>
          <w:sz w:val="20"/>
          <w:szCs w:val="20"/>
          <w:highlight w:val="yellow"/>
        </w:rPr>
      </w:pPr>
    </w:p>
    <w:p w14:paraId="31810762" w14:textId="77777777" w:rsidR="008C676E" w:rsidRPr="000F26FC" w:rsidRDefault="008C676E" w:rsidP="008C676E">
      <w:pPr>
        <w:spacing w:after="0" w:line="240" w:lineRule="auto"/>
        <w:jc w:val="both"/>
        <w:rPr>
          <w:rFonts w:ascii="Arial" w:hAnsi="Arial" w:cs="Arial"/>
          <w:sz w:val="20"/>
          <w:szCs w:val="20"/>
          <w:highlight w:val="yellow"/>
          <w:u w:val="single"/>
        </w:rPr>
      </w:pPr>
      <w:r w:rsidRPr="000F26FC">
        <w:rPr>
          <w:rFonts w:ascii="Arial" w:hAnsi="Arial" w:cs="Arial"/>
          <w:sz w:val="20"/>
          <w:szCs w:val="20"/>
          <w:u w:val="single"/>
        </w:rPr>
        <w:t>Acquisition of JCR Security Limited</w:t>
      </w:r>
    </w:p>
    <w:p w14:paraId="3E04F5B8" w14:textId="77777777" w:rsidR="008C676E" w:rsidRDefault="008C676E" w:rsidP="008C676E">
      <w:pPr>
        <w:spacing w:after="0" w:line="240" w:lineRule="auto"/>
        <w:jc w:val="both"/>
        <w:rPr>
          <w:rFonts w:ascii="Arial" w:hAnsi="Arial" w:cs="Arial"/>
          <w:sz w:val="20"/>
          <w:szCs w:val="20"/>
          <w:highlight w:val="yellow"/>
        </w:rPr>
      </w:pPr>
    </w:p>
    <w:p w14:paraId="5F5379BF" w14:textId="68199656" w:rsidR="008C676E" w:rsidRPr="00967E0E" w:rsidRDefault="008C676E" w:rsidP="008C676E">
      <w:pPr>
        <w:spacing w:after="0" w:line="240" w:lineRule="auto"/>
        <w:jc w:val="both"/>
        <w:rPr>
          <w:rFonts w:ascii="Arial" w:hAnsi="Arial" w:cs="Arial"/>
          <w:sz w:val="20"/>
          <w:szCs w:val="20"/>
        </w:rPr>
      </w:pPr>
      <w:r w:rsidRPr="00967E0E">
        <w:rPr>
          <w:rFonts w:ascii="Arial" w:hAnsi="Arial" w:cs="Arial"/>
          <w:sz w:val="20"/>
          <w:szCs w:val="20"/>
        </w:rPr>
        <w:t>On 20 April 2023 the Group acquired JCR Security Limited (“JCR Security”), a provider of fire installation and maintenance services for a total consideration of £0.7m, satisfied by the payment of £0.4m in cash on completion and £0.3m payable subject to the achievement of certain performance targets by the acquired business 36 months post-acquisition.</w:t>
      </w:r>
      <w:r w:rsidR="00ED68B7">
        <w:rPr>
          <w:rFonts w:ascii="Arial" w:hAnsi="Arial" w:cs="Arial"/>
          <w:sz w:val="20"/>
          <w:szCs w:val="20"/>
        </w:rPr>
        <w:t xml:space="preserve"> </w:t>
      </w:r>
      <w:r w:rsidRPr="00967E0E">
        <w:rPr>
          <w:rFonts w:ascii="Arial" w:hAnsi="Arial" w:cs="Arial"/>
          <w:sz w:val="20"/>
          <w:szCs w:val="20"/>
        </w:rPr>
        <w:t xml:space="preserve">The £0.3m contingent consideration payable has been discounted to its present value of £0.1m by applying the weighted average cost of capital used in the purchase price allocation. </w:t>
      </w:r>
    </w:p>
    <w:p w14:paraId="20726F6D" w14:textId="77777777" w:rsidR="008C676E" w:rsidRPr="00967E0E" w:rsidRDefault="008C676E" w:rsidP="008C676E">
      <w:pPr>
        <w:spacing w:after="0" w:line="240" w:lineRule="auto"/>
        <w:jc w:val="both"/>
        <w:rPr>
          <w:rFonts w:ascii="Arial" w:hAnsi="Arial" w:cs="Arial"/>
          <w:sz w:val="20"/>
          <w:szCs w:val="20"/>
        </w:rPr>
      </w:pPr>
    </w:p>
    <w:p w14:paraId="612976AC" w14:textId="77777777" w:rsidR="008C676E" w:rsidRPr="00967E0E" w:rsidRDefault="008C676E" w:rsidP="008C676E">
      <w:pPr>
        <w:spacing w:after="0" w:line="240" w:lineRule="auto"/>
        <w:jc w:val="both"/>
        <w:rPr>
          <w:rFonts w:ascii="Arial" w:hAnsi="Arial" w:cs="Arial"/>
          <w:sz w:val="20"/>
          <w:szCs w:val="20"/>
        </w:rPr>
      </w:pPr>
      <w:r w:rsidRPr="00967E0E">
        <w:rPr>
          <w:rFonts w:ascii="Arial" w:hAnsi="Arial" w:cs="Arial"/>
          <w:sz w:val="20"/>
          <w:szCs w:val="20"/>
        </w:rPr>
        <w:t xml:space="preserve">One hundred percent of the equity of JCR Security was acquired in this transaction. Deferred tax has been provided on the value of the intangible assets at the tax rate applicable at the time the asset is expected to be realised. Acquisition costs of </w:t>
      </w:r>
      <w:r w:rsidRPr="00A43702">
        <w:rPr>
          <w:rFonts w:ascii="Arial" w:hAnsi="Arial" w:cs="Arial"/>
          <w:sz w:val="20"/>
          <w:szCs w:val="20"/>
        </w:rPr>
        <w:t>£</w:t>
      </w:r>
      <w:r>
        <w:rPr>
          <w:rFonts w:ascii="Arial" w:hAnsi="Arial" w:cs="Arial"/>
          <w:sz w:val="20"/>
          <w:szCs w:val="20"/>
        </w:rPr>
        <w:t>nil</w:t>
      </w:r>
      <w:r w:rsidRPr="00967E0E">
        <w:rPr>
          <w:rFonts w:ascii="Arial" w:hAnsi="Arial" w:cs="Arial"/>
          <w:sz w:val="20"/>
          <w:szCs w:val="20"/>
        </w:rPr>
        <w:t xml:space="preserve"> have been charged to profit or loss.</w:t>
      </w:r>
    </w:p>
    <w:p w14:paraId="03C2EEB4" w14:textId="1AD6E0FB" w:rsidR="008C676E" w:rsidRPr="00385109" w:rsidRDefault="008C676E" w:rsidP="008C676E">
      <w:pPr>
        <w:spacing w:after="0" w:line="240" w:lineRule="auto"/>
        <w:jc w:val="both"/>
        <w:rPr>
          <w:rFonts w:ascii="Arial" w:hAnsi="Arial" w:cs="Arial"/>
          <w:i/>
          <w:iCs/>
          <w:sz w:val="20"/>
          <w:szCs w:val="20"/>
          <w:highlight w:val="yellow"/>
        </w:rPr>
      </w:pPr>
    </w:p>
    <w:tbl>
      <w:tblPr>
        <w:tblW w:w="9752" w:type="dxa"/>
        <w:tblInd w:w="-30" w:type="dxa"/>
        <w:tblLayout w:type="fixed"/>
        <w:tblLook w:val="0000" w:firstRow="0" w:lastRow="0" w:firstColumn="0" w:lastColumn="0" w:noHBand="0" w:noVBand="0"/>
      </w:tblPr>
      <w:tblGrid>
        <w:gridCol w:w="6690"/>
        <w:gridCol w:w="1531"/>
        <w:gridCol w:w="1531"/>
      </w:tblGrid>
      <w:tr w:rsidR="008C676E" w:rsidRPr="004D7811" w14:paraId="12DFCA96" w14:textId="77777777" w:rsidTr="00AB1DC6">
        <w:trPr>
          <w:trHeight w:val="283"/>
        </w:trPr>
        <w:tc>
          <w:tcPr>
            <w:tcW w:w="6690" w:type="dxa"/>
            <w:vAlign w:val="bottom"/>
          </w:tcPr>
          <w:p w14:paraId="684C2EED"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bookmarkStart w:id="15" w:name="_Hlk169729637"/>
          </w:p>
        </w:tc>
        <w:tc>
          <w:tcPr>
            <w:tcW w:w="1531" w:type="dxa"/>
            <w:vAlign w:val="bottom"/>
          </w:tcPr>
          <w:p w14:paraId="4DB13B80"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vAlign w:val="bottom"/>
          </w:tcPr>
          <w:p w14:paraId="23446B94"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B03C8E">
              <w:rPr>
                <w:rFonts w:ascii="Arial" w:hAnsi="Arial" w:cs="Arial"/>
                <w:b/>
                <w:bCs/>
                <w:color w:val="000000"/>
                <w:sz w:val="20"/>
                <w:szCs w:val="20"/>
              </w:rPr>
              <w:t>Fair value at acquisition</w:t>
            </w:r>
          </w:p>
        </w:tc>
      </w:tr>
      <w:tr w:rsidR="008C676E" w:rsidRPr="004D7811" w14:paraId="18CD4C64" w14:textId="77777777" w:rsidTr="00AB1DC6">
        <w:trPr>
          <w:trHeight w:val="283"/>
        </w:trPr>
        <w:tc>
          <w:tcPr>
            <w:tcW w:w="6690" w:type="dxa"/>
            <w:tcBorders>
              <w:bottom w:val="single" w:sz="4" w:space="0" w:color="auto"/>
            </w:tcBorders>
            <w:vAlign w:val="bottom"/>
          </w:tcPr>
          <w:p w14:paraId="2E6B8A5A"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tcBorders>
              <w:bottom w:val="single" w:sz="4" w:space="0" w:color="auto"/>
            </w:tcBorders>
            <w:vAlign w:val="bottom"/>
          </w:tcPr>
          <w:p w14:paraId="6EA75876"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tcBorders>
              <w:bottom w:val="single" w:sz="4" w:space="0" w:color="auto"/>
            </w:tcBorders>
            <w:vAlign w:val="bottom"/>
          </w:tcPr>
          <w:p w14:paraId="24F9A8CB" w14:textId="77777777" w:rsidR="008C676E" w:rsidRPr="00B03C8E" w:rsidRDefault="008C676E" w:rsidP="00AB1DC6">
            <w:pPr>
              <w:autoSpaceDE w:val="0"/>
              <w:autoSpaceDN w:val="0"/>
              <w:adjustRightInd w:val="0"/>
              <w:spacing w:after="0" w:line="0" w:lineRule="atLeast"/>
              <w:jc w:val="right"/>
              <w:rPr>
                <w:rFonts w:ascii="Arial" w:hAnsi="Arial" w:cs="Arial"/>
                <w:b/>
                <w:bCs/>
                <w:color w:val="000000"/>
                <w:sz w:val="20"/>
                <w:szCs w:val="20"/>
              </w:rPr>
            </w:pPr>
            <w:r w:rsidRPr="00B03C8E">
              <w:rPr>
                <w:rFonts w:ascii="Arial" w:hAnsi="Arial" w:cs="Arial"/>
                <w:b/>
                <w:bCs/>
                <w:color w:val="000000"/>
                <w:sz w:val="20"/>
                <w:szCs w:val="20"/>
              </w:rPr>
              <w:t>£’m</w:t>
            </w:r>
          </w:p>
        </w:tc>
      </w:tr>
      <w:tr w:rsidR="008C676E" w:rsidRPr="004D7811" w14:paraId="1DDA8A42" w14:textId="77777777" w:rsidTr="00AB1DC6">
        <w:trPr>
          <w:trHeight w:val="283"/>
        </w:trPr>
        <w:tc>
          <w:tcPr>
            <w:tcW w:w="6690" w:type="dxa"/>
            <w:tcBorders>
              <w:top w:val="single" w:sz="4" w:space="0" w:color="auto"/>
            </w:tcBorders>
          </w:tcPr>
          <w:p w14:paraId="16F8473C"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7C6CAA">
              <w:rPr>
                <w:rFonts w:ascii="Arial" w:hAnsi="Arial" w:cs="Arial"/>
                <w:color w:val="000000"/>
                <w:sz w:val="20"/>
                <w:szCs w:val="20"/>
              </w:rPr>
              <w:t>Intangible assets – customer relationships</w:t>
            </w:r>
          </w:p>
        </w:tc>
        <w:tc>
          <w:tcPr>
            <w:tcW w:w="1531" w:type="dxa"/>
            <w:tcBorders>
              <w:top w:val="single" w:sz="4" w:space="0" w:color="auto"/>
            </w:tcBorders>
            <w:vAlign w:val="bottom"/>
          </w:tcPr>
          <w:p w14:paraId="4DD19765"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Borders>
              <w:top w:val="single" w:sz="4" w:space="0" w:color="auto"/>
            </w:tcBorders>
          </w:tcPr>
          <w:p w14:paraId="7CA9EC48"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4D3D02">
              <w:rPr>
                <w:rFonts w:ascii="Arial" w:hAnsi="Arial" w:cs="Arial"/>
                <w:color w:val="000000"/>
                <w:sz w:val="20"/>
                <w:szCs w:val="20"/>
              </w:rPr>
              <w:t>0.2</w:t>
            </w:r>
          </w:p>
        </w:tc>
      </w:tr>
      <w:tr w:rsidR="008C676E" w:rsidRPr="004D7811" w14:paraId="61431332" w14:textId="77777777" w:rsidTr="00AB1DC6">
        <w:trPr>
          <w:trHeight w:val="283"/>
        </w:trPr>
        <w:tc>
          <w:tcPr>
            <w:tcW w:w="6690" w:type="dxa"/>
          </w:tcPr>
          <w:p w14:paraId="63F6C271"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7C6CAA">
              <w:rPr>
                <w:rFonts w:ascii="Arial" w:hAnsi="Arial" w:cs="Arial"/>
                <w:color w:val="000000"/>
                <w:sz w:val="20"/>
                <w:szCs w:val="20"/>
              </w:rPr>
              <w:t>Trade and other receivables</w:t>
            </w:r>
          </w:p>
        </w:tc>
        <w:tc>
          <w:tcPr>
            <w:tcW w:w="1531" w:type="dxa"/>
            <w:vAlign w:val="bottom"/>
          </w:tcPr>
          <w:p w14:paraId="0C8E594C"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Pr>
          <w:p w14:paraId="4C046FD5"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4D3D02">
              <w:rPr>
                <w:rFonts w:ascii="Arial" w:hAnsi="Arial" w:cs="Arial"/>
                <w:color w:val="000000"/>
                <w:sz w:val="20"/>
                <w:szCs w:val="20"/>
              </w:rPr>
              <w:t>0.2</w:t>
            </w:r>
          </w:p>
        </w:tc>
      </w:tr>
      <w:tr w:rsidR="008C676E" w:rsidRPr="004D7811" w14:paraId="2DC13EB2" w14:textId="77777777" w:rsidTr="00AB1DC6">
        <w:trPr>
          <w:trHeight w:val="283"/>
        </w:trPr>
        <w:tc>
          <w:tcPr>
            <w:tcW w:w="6690" w:type="dxa"/>
          </w:tcPr>
          <w:p w14:paraId="654456AE"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7C6CAA">
              <w:rPr>
                <w:rFonts w:ascii="Arial" w:hAnsi="Arial" w:cs="Arial"/>
                <w:color w:val="000000"/>
                <w:sz w:val="20"/>
                <w:szCs w:val="20"/>
              </w:rPr>
              <w:t>Cash</w:t>
            </w:r>
          </w:p>
        </w:tc>
        <w:tc>
          <w:tcPr>
            <w:tcW w:w="1531" w:type="dxa"/>
            <w:vAlign w:val="bottom"/>
          </w:tcPr>
          <w:p w14:paraId="09BE322C"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Pr>
          <w:p w14:paraId="6097771B"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4D3D02">
              <w:rPr>
                <w:rFonts w:ascii="Arial" w:hAnsi="Arial" w:cs="Arial"/>
                <w:color w:val="000000"/>
                <w:sz w:val="20"/>
                <w:szCs w:val="20"/>
              </w:rPr>
              <w:t>0.1</w:t>
            </w:r>
          </w:p>
        </w:tc>
      </w:tr>
      <w:tr w:rsidR="008C676E" w:rsidRPr="004D7811" w14:paraId="08D41B31" w14:textId="77777777" w:rsidTr="00AB1DC6">
        <w:trPr>
          <w:trHeight w:val="283"/>
        </w:trPr>
        <w:tc>
          <w:tcPr>
            <w:tcW w:w="6690" w:type="dxa"/>
            <w:shd w:val="clear" w:color="auto" w:fill="auto"/>
          </w:tcPr>
          <w:p w14:paraId="698EFE1D"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7C6CAA">
              <w:rPr>
                <w:rFonts w:ascii="Arial" w:hAnsi="Arial" w:cs="Arial"/>
                <w:color w:val="000000"/>
                <w:sz w:val="20"/>
                <w:szCs w:val="20"/>
              </w:rPr>
              <w:t>Trade and other payables</w:t>
            </w:r>
          </w:p>
        </w:tc>
        <w:tc>
          <w:tcPr>
            <w:tcW w:w="1531" w:type="dxa"/>
            <w:vAlign w:val="bottom"/>
          </w:tcPr>
          <w:p w14:paraId="2DB79B5E"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tcPr>
          <w:p w14:paraId="77D03026"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4D3D02">
              <w:rPr>
                <w:rFonts w:ascii="Arial" w:hAnsi="Arial" w:cs="Arial"/>
                <w:color w:val="000000"/>
                <w:sz w:val="20"/>
                <w:szCs w:val="20"/>
              </w:rPr>
              <w:t>(0.2)</w:t>
            </w:r>
          </w:p>
        </w:tc>
      </w:tr>
      <w:tr w:rsidR="008C676E" w:rsidRPr="004D7811" w14:paraId="454651C1" w14:textId="77777777" w:rsidTr="00AB1DC6">
        <w:trPr>
          <w:trHeight w:val="283"/>
        </w:trPr>
        <w:tc>
          <w:tcPr>
            <w:tcW w:w="6690" w:type="dxa"/>
            <w:tcBorders>
              <w:top w:val="single" w:sz="4" w:space="0" w:color="auto"/>
              <w:bottom w:val="single" w:sz="4" w:space="0" w:color="auto"/>
            </w:tcBorders>
            <w:shd w:val="clear" w:color="auto" w:fill="auto"/>
            <w:vAlign w:val="bottom"/>
          </w:tcPr>
          <w:p w14:paraId="4C23E42B" w14:textId="77777777" w:rsidR="008C676E" w:rsidRPr="009B1780" w:rsidRDefault="008C676E" w:rsidP="00AB1DC6">
            <w:pPr>
              <w:autoSpaceDE w:val="0"/>
              <w:autoSpaceDN w:val="0"/>
              <w:adjustRightInd w:val="0"/>
              <w:spacing w:after="0" w:line="0" w:lineRule="atLeast"/>
              <w:rPr>
                <w:rFonts w:ascii="Arial" w:hAnsi="Arial" w:cs="Arial"/>
                <w:b/>
                <w:bCs/>
                <w:color w:val="000000"/>
                <w:sz w:val="20"/>
                <w:szCs w:val="20"/>
              </w:rPr>
            </w:pPr>
            <w:r w:rsidRPr="009B1780">
              <w:rPr>
                <w:rFonts w:ascii="Arial" w:hAnsi="Arial" w:cs="Arial"/>
                <w:b/>
                <w:bCs/>
                <w:color w:val="000000"/>
                <w:sz w:val="20"/>
                <w:szCs w:val="20"/>
              </w:rPr>
              <w:t>Net assets acquired</w:t>
            </w:r>
          </w:p>
        </w:tc>
        <w:tc>
          <w:tcPr>
            <w:tcW w:w="1531" w:type="dxa"/>
            <w:tcBorders>
              <w:top w:val="single" w:sz="4" w:space="0" w:color="auto"/>
              <w:bottom w:val="single" w:sz="4" w:space="0" w:color="auto"/>
            </w:tcBorders>
            <w:vAlign w:val="bottom"/>
          </w:tcPr>
          <w:p w14:paraId="17F51666" w14:textId="77777777" w:rsidR="008C676E" w:rsidRPr="009B178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3068F330" w14:textId="77777777" w:rsidR="008C676E" w:rsidRPr="009B1780"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0.3</w:t>
            </w:r>
          </w:p>
        </w:tc>
      </w:tr>
      <w:tr w:rsidR="008C676E" w:rsidRPr="004D7811" w14:paraId="5FD22814" w14:textId="77777777" w:rsidTr="00AB1DC6">
        <w:trPr>
          <w:trHeight w:val="283"/>
        </w:trPr>
        <w:tc>
          <w:tcPr>
            <w:tcW w:w="6690" w:type="dxa"/>
            <w:tcBorders>
              <w:top w:val="single" w:sz="4" w:space="0" w:color="auto"/>
              <w:bottom w:val="single" w:sz="4" w:space="0" w:color="auto"/>
            </w:tcBorders>
            <w:shd w:val="clear" w:color="auto" w:fill="auto"/>
            <w:vAlign w:val="bottom"/>
          </w:tcPr>
          <w:p w14:paraId="35BB205F"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Goodwill</w:t>
            </w:r>
          </w:p>
        </w:tc>
        <w:tc>
          <w:tcPr>
            <w:tcW w:w="1531" w:type="dxa"/>
            <w:tcBorders>
              <w:top w:val="single" w:sz="4" w:space="0" w:color="auto"/>
              <w:bottom w:val="single" w:sz="4" w:space="0" w:color="auto"/>
            </w:tcBorders>
            <w:vAlign w:val="bottom"/>
          </w:tcPr>
          <w:p w14:paraId="66D5AC62"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2E431D92"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0.2</w:t>
            </w:r>
          </w:p>
        </w:tc>
      </w:tr>
      <w:tr w:rsidR="008C676E" w:rsidRPr="004D7811" w14:paraId="5DD5227E" w14:textId="77777777" w:rsidTr="00AB1DC6">
        <w:trPr>
          <w:trHeight w:val="283"/>
        </w:trPr>
        <w:tc>
          <w:tcPr>
            <w:tcW w:w="6690" w:type="dxa"/>
            <w:tcBorders>
              <w:top w:val="single" w:sz="4" w:space="0" w:color="auto"/>
              <w:bottom w:val="single" w:sz="4" w:space="0" w:color="auto"/>
            </w:tcBorders>
            <w:shd w:val="clear" w:color="auto" w:fill="auto"/>
            <w:vAlign w:val="bottom"/>
          </w:tcPr>
          <w:p w14:paraId="1C587064" w14:textId="77777777" w:rsidR="008C676E" w:rsidRPr="00187457" w:rsidRDefault="008C676E" w:rsidP="00AB1DC6">
            <w:pPr>
              <w:autoSpaceDE w:val="0"/>
              <w:autoSpaceDN w:val="0"/>
              <w:adjustRightInd w:val="0"/>
              <w:spacing w:after="0" w:line="0" w:lineRule="atLeast"/>
              <w:rPr>
                <w:rFonts w:ascii="Arial" w:hAnsi="Arial" w:cs="Arial"/>
                <w:b/>
                <w:bCs/>
                <w:color w:val="000000"/>
                <w:sz w:val="20"/>
                <w:szCs w:val="20"/>
              </w:rPr>
            </w:pPr>
            <w:r w:rsidRPr="00187457">
              <w:rPr>
                <w:rFonts w:ascii="Arial" w:hAnsi="Arial" w:cs="Arial"/>
                <w:b/>
                <w:bCs/>
                <w:color w:val="000000"/>
                <w:sz w:val="20"/>
                <w:szCs w:val="20"/>
              </w:rPr>
              <w:t>Consideration</w:t>
            </w:r>
          </w:p>
        </w:tc>
        <w:tc>
          <w:tcPr>
            <w:tcW w:w="1531" w:type="dxa"/>
            <w:tcBorders>
              <w:top w:val="single" w:sz="4" w:space="0" w:color="auto"/>
              <w:bottom w:val="single" w:sz="4" w:space="0" w:color="auto"/>
            </w:tcBorders>
            <w:vAlign w:val="bottom"/>
          </w:tcPr>
          <w:p w14:paraId="07DC801A" w14:textId="77777777" w:rsidR="008C676E" w:rsidRPr="00187457"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312B1BC5" w14:textId="77777777" w:rsidR="008C676E" w:rsidRPr="00187457"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0.5</w:t>
            </w:r>
          </w:p>
        </w:tc>
      </w:tr>
      <w:tr w:rsidR="008C676E" w:rsidRPr="004D7811" w14:paraId="242545F0" w14:textId="77777777" w:rsidTr="00AB1DC6">
        <w:trPr>
          <w:trHeight w:val="283"/>
        </w:trPr>
        <w:tc>
          <w:tcPr>
            <w:tcW w:w="6690" w:type="dxa"/>
            <w:tcBorders>
              <w:top w:val="single" w:sz="4" w:space="0" w:color="auto"/>
            </w:tcBorders>
            <w:shd w:val="clear" w:color="auto" w:fill="auto"/>
            <w:vAlign w:val="bottom"/>
          </w:tcPr>
          <w:p w14:paraId="54991204"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Satisfied by:</w:t>
            </w:r>
          </w:p>
        </w:tc>
        <w:tc>
          <w:tcPr>
            <w:tcW w:w="1531" w:type="dxa"/>
            <w:tcBorders>
              <w:top w:val="single" w:sz="4" w:space="0" w:color="auto"/>
            </w:tcBorders>
            <w:vAlign w:val="bottom"/>
          </w:tcPr>
          <w:p w14:paraId="0F54FFEB"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tcBorders>
            <w:shd w:val="clear" w:color="auto" w:fill="auto"/>
            <w:vAlign w:val="bottom"/>
          </w:tcPr>
          <w:p w14:paraId="4AEA9364"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68B9F9F9" w14:textId="77777777" w:rsidTr="00AB1DC6">
        <w:trPr>
          <w:trHeight w:val="283"/>
        </w:trPr>
        <w:tc>
          <w:tcPr>
            <w:tcW w:w="6690" w:type="dxa"/>
            <w:shd w:val="clear" w:color="auto" w:fill="auto"/>
            <w:vAlign w:val="bottom"/>
          </w:tcPr>
          <w:p w14:paraId="44F8BD29"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Cash to vendors</w:t>
            </w:r>
          </w:p>
        </w:tc>
        <w:tc>
          <w:tcPr>
            <w:tcW w:w="1531" w:type="dxa"/>
            <w:vAlign w:val="bottom"/>
          </w:tcPr>
          <w:p w14:paraId="157DB7D9"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1302AD2B"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0.4</w:t>
            </w:r>
          </w:p>
        </w:tc>
      </w:tr>
      <w:tr w:rsidR="008C676E" w:rsidRPr="004D7811" w14:paraId="307A8AD1" w14:textId="77777777" w:rsidTr="00AB1DC6">
        <w:trPr>
          <w:trHeight w:val="283"/>
        </w:trPr>
        <w:tc>
          <w:tcPr>
            <w:tcW w:w="6690" w:type="dxa"/>
            <w:tcBorders>
              <w:bottom w:val="double" w:sz="4" w:space="0" w:color="auto"/>
            </w:tcBorders>
            <w:shd w:val="clear" w:color="auto" w:fill="auto"/>
            <w:vAlign w:val="bottom"/>
          </w:tcPr>
          <w:p w14:paraId="41B7BDDE"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Contingent cash consideration to vendors</w:t>
            </w:r>
          </w:p>
        </w:tc>
        <w:tc>
          <w:tcPr>
            <w:tcW w:w="1531" w:type="dxa"/>
            <w:tcBorders>
              <w:bottom w:val="double" w:sz="4" w:space="0" w:color="auto"/>
            </w:tcBorders>
            <w:vAlign w:val="bottom"/>
          </w:tcPr>
          <w:p w14:paraId="40FBC384"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bottom w:val="double" w:sz="4" w:space="0" w:color="auto"/>
            </w:tcBorders>
            <w:shd w:val="clear" w:color="auto" w:fill="auto"/>
            <w:vAlign w:val="bottom"/>
          </w:tcPr>
          <w:p w14:paraId="15887EF0"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0.1</w:t>
            </w:r>
          </w:p>
        </w:tc>
      </w:tr>
      <w:bookmarkEnd w:id="15"/>
    </w:tbl>
    <w:p w14:paraId="682C2E4B" w14:textId="77777777" w:rsidR="008C676E" w:rsidRDefault="008C676E" w:rsidP="008C676E">
      <w:pPr>
        <w:spacing w:after="0" w:line="240" w:lineRule="auto"/>
        <w:jc w:val="both"/>
        <w:rPr>
          <w:rFonts w:ascii="Arial" w:hAnsi="Arial" w:cs="Arial"/>
          <w:sz w:val="20"/>
          <w:szCs w:val="20"/>
        </w:rPr>
      </w:pPr>
    </w:p>
    <w:p w14:paraId="01F8E032" w14:textId="77777777" w:rsidR="008C676E" w:rsidRDefault="008C676E" w:rsidP="008C676E">
      <w:pPr>
        <w:spacing w:after="0" w:line="240" w:lineRule="auto"/>
        <w:jc w:val="both"/>
        <w:rPr>
          <w:rFonts w:ascii="Arial" w:hAnsi="Arial" w:cs="Arial"/>
          <w:sz w:val="20"/>
          <w:szCs w:val="20"/>
        </w:rPr>
      </w:pPr>
      <w:r w:rsidRPr="00967E0E">
        <w:rPr>
          <w:rFonts w:ascii="Arial" w:hAnsi="Arial" w:cs="Arial"/>
          <w:sz w:val="20"/>
          <w:szCs w:val="20"/>
        </w:rPr>
        <w:t>If the acquisition had been completed on the first day of the financial year JCR Security would have generated £1.9m revenue and £0.5m profit before tax.</w:t>
      </w:r>
    </w:p>
    <w:p w14:paraId="43BD95B0" w14:textId="77777777" w:rsidR="008C676E" w:rsidRDefault="008C676E" w:rsidP="008C676E">
      <w:pPr>
        <w:spacing w:after="0" w:line="240" w:lineRule="auto"/>
        <w:jc w:val="both"/>
        <w:rPr>
          <w:rFonts w:ascii="Arial" w:hAnsi="Arial" w:cs="Arial"/>
          <w:sz w:val="20"/>
          <w:szCs w:val="20"/>
        </w:rPr>
      </w:pPr>
    </w:p>
    <w:p w14:paraId="5B244B44" w14:textId="77777777" w:rsidR="008C676E" w:rsidRPr="00967E0E" w:rsidRDefault="008C676E" w:rsidP="008C676E">
      <w:pPr>
        <w:spacing w:after="0" w:line="240" w:lineRule="auto"/>
        <w:jc w:val="both"/>
        <w:rPr>
          <w:rFonts w:ascii="Arial" w:hAnsi="Arial" w:cs="Arial"/>
          <w:sz w:val="20"/>
          <w:szCs w:val="20"/>
        </w:rPr>
      </w:pPr>
      <w:r w:rsidRPr="00B03C8E">
        <w:rPr>
          <w:rFonts w:ascii="Arial" w:hAnsi="Arial" w:cs="Arial"/>
          <w:sz w:val="20"/>
          <w:szCs w:val="20"/>
        </w:rPr>
        <w:lastRenderedPageBreak/>
        <w:t>Post completion, the acquisition of JCR Security contributed £1.9m revenue and £0.5m profit before tax.</w:t>
      </w:r>
      <w:r w:rsidRPr="00B03C8E">
        <w:rPr>
          <w:rFonts w:ascii="Arial" w:hAnsi="Arial" w:cs="Arial"/>
          <w:sz w:val="20"/>
          <w:szCs w:val="20"/>
        </w:rPr>
        <w:tab/>
      </w:r>
      <w:r w:rsidRPr="00B03C8E">
        <w:rPr>
          <w:rFonts w:ascii="Arial" w:hAnsi="Arial" w:cs="Arial"/>
          <w:sz w:val="20"/>
          <w:szCs w:val="20"/>
        </w:rPr>
        <w:tab/>
      </w:r>
      <w:r w:rsidRPr="00B03C8E">
        <w:rPr>
          <w:rFonts w:ascii="Arial" w:hAnsi="Arial" w:cs="Arial"/>
          <w:sz w:val="20"/>
          <w:szCs w:val="20"/>
        </w:rPr>
        <w:tab/>
      </w:r>
      <w:r w:rsidRPr="00B03C8E">
        <w:rPr>
          <w:rFonts w:ascii="Arial" w:hAnsi="Arial" w:cs="Arial"/>
          <w:sz w:val="20"/>
          <w:szCs w:val="20"/>
        </w:rPr>
        <w:tab/>
      </w:r>
      <w:r w:rsidRPr="00967E0E">
        <w:rPr>
          <w:rFonts w:ascii="Arial" w:hAnsi="Arial" w:cs="Arial"/>
          <w:sz w:val="20"/>
          <w:szCs w:val="20"/>
        </w:rPr>
        <w:tab/>
      </w:r>
      <w:r w:rsidRPr="00967E0E">
        <w:rPr>
          <w:rFonts w:ascii="Arial" w:hAnsi="Arial" w:cs="Arial"/>
          <w:sz w:val="20"/>
          <w:szCs w:val="20"/>
        </w:rPr>
        <w:tab/>
      </w:r>
      <w:r w:rsidRPr="00967E0E">
        <w:rPr>
          <w:rFonts w:ascii="Arial" w:hAnsi="Arial" w:cs="Arial"/>
          <w:sz w:val="20"/>
          <w:szCs w:val="20"/>
        </w:rPr>
        <w:tab/>
      </w:r>
    </w:p>
    <w:p w14:paraId="1A6867BE" w14:textId="77777777" w:rsidR="008C676E" w:rsidRPr="009428EA" w:rsidRDefault="008C676E" w:rsidP="008C676E">
      <w:pPr>
        <w:spacing w:after="0" w:line="240" w:lineRule="auto"/>
        <w:jc w:val="both"/>
        <w:rPr>
          <w:rFonts w:ascii="Arial" w:hAnsi="Arial" w:cs="Arial"/>
          <w:sz w:val="20"/>
          <w:szCs w:val="20"/>
          <w:u w:val="single"/>
        </w:rPr>
      </w:pPr>
      <w:r w:rsidRPr="009428EA">
        <w:rPr>
          <w:rFonts w:ascii="Arial" w:hAnsi="Arial" w:cs="Arial"/>
          <w:sz w:val="20"/>
          <w:szCs w:val="20"/>
          <w:u w:val="single"/>
        </w:rPr>
        <w:t>Acquisition of Trans-Fire Holdings Ltd</w:t>
      </w:r>
    </w:p>
    <w:p w14:paraId="3260970D" w14:textId="77777777" w:rsidR="008C676E" w:rsidRDefault="008C676E" w:rsidP="008C676E">
      <w:pPr>
        <w:spacing w:after="0" w:line="240" w:lineRule="auto"/>
        <w:jc w:val="both"/>
        <w:rPr>
          <w:rFonts w:ascii="Arial" w:hAnsi="Arial" w:cs="Arial"/>
          <w:sz w:val="20"/>
          <w:szCs w:val="20"/>
          <w:highlight w:val="yellow"/>
        </w:rPr>
      </w:pPr>
      <w:r w:rsidRPr="00967E0E">
        <w:rPr>
          <w:rFonts w:ascii="Arial" w:hAnsi="Arial" w:cs="Arial"/>
          <w:sz w:val="20"/>
          <w:szCs w:val="20"/>
        </w:rPr>
        <w:tab/>
      </w:r>
      <w:r w:rsidRPr="00967E0E">
        <w:rPr>
          <w:rFonts w:ascii="Arial" w:hAnsi="Arial" w:cs="Arial"/>
          <w:sz w:val="20"/>
          <w:szCs w:val="20"/>
        </w:rPr>
        <w:tab/>
      </w:r>
      <w:r w:rsidRPr="00967E0E">
        <w:rPr>
          <w:rFonts w:ascii="Arial" w:hAnsi="Arial" w:cs="Arial"/>
          <w:sz w:val="20"/>
          <w:szCs w:val="20"/>
        </w:rPr>
        <w:tab/>
      </w:r>
      <w:r w:rsidRPr="00967E0E">
        <w:rPr>
          <w:rFonts w:ascii="Arial" w:hAnsi="Arial" w:cs="Arial"/>
          <w:sz w:val="20"/>
          <w:szCs w:val="20"/>
        </w:rPr>
        <w:tab/>
      </w:r>
    </w:p>
    <w:p w14:paraId="3E8F9BF3" w14:textId="38A946D9" w:rsidR="008C676E" w:rsidRPr="00D54F87" w:rsidRDefault="008C676E" w:rsidP="008C676E">
      <w:pPr>
        <w:spacing w:after="0" w:line="240" w:lineRule="auto"/>
        <w:jc w:val="both"/>
        <w:rPr>
          <w:rFonts w:ascii="Arial" w:hAnsi="Arial" w:cs="Arial"/>
          <w:sz w:val="20"/>
          <w:szCs w:val="20"/>
        </w:rPr>
      </w:pPr>
      <w:r w:rsidRPr="00D54F87">
        <w:rPr>
          <w:rFonts w:ascii="Arial" w:hAnsi="Arial" w:cs="Arial"/>
          <w:sz w:val="20"/>
          <w:szCs w:val="20"/>
        </w:rPr>
        <w:t>On 13 June 2023 the Group acquired Trans-Fire Holdings Ltd (“Merryweather”), a provider of fire &amp; security maintenance services for a total consideration of £0.9m, satisfied by the payment of £0.7m in cash on completion</w:t>
      </w:r>
      <w:r w:rsidR="00BA6D8B">
        <w:rPr>
          <w:rFonts w:ascii="Arial" w:hAnsi="Arial" w:cs="Arial"/>
          <w:sz w:val="20"/>
          <w:szCs w:val="20"/>
        </w:rPr>
        <w:t xml:space="preserve"> and </w:t>
      </w:r>
      <w:r w:rsidRPr="00D54F87">
        <w:rPr>
          <w:rFonts w:ascii="Arial" w:hAnsi="Arial" w:cs="Arial"/>
          <w:sz w:val="20"/>
          <w:szCs w:val="20"/>
        </w:rPr>
        <w:t>£0.2m payable subject to the achievement of certain performance targets by the acquired business 6 months post-acquisition.</w:t>
      </w:r>
    </w:p>
    <w:p w14:paraId="265E8508" w14:textId="77777777" w:rsidR="008C676E" w:rsidRPr="00D54F87" w:rsidRDefault="008C676E" w:rsidP="008C676E">
      <w:pPr>
        <w:spacing w:after="0" w:line="240" w:lineRule="auto"/>
        <w:jc w:val="both"/>
        <w:rPr>
          <w:rFonts w:ascii="Arial" w:hAnsi="Arial" w:cs="Arial"/>
          <w:sz w:val="20"/>
          <w:szCs w:val="20"/>
        </w:rPr>
      </w:pPr>
    </w:p>
    <w:p w14:paraId="13224FE3" w14:textId="77777777" w:rsidR="008C676E" w:rsidRDefault="008C676E" w:rsidP="008C676E">
      <w:pPr>
        <w:spacing w:after="0" w:line="240" w:lineRule="auto"/>
        <w:jc w:val="both"/>
        <w:rPr>
          <w:rFonts w:ascii="Arial" w:hAnsi="Arial" w:cs="Arial"/>
          <w:sz w:val="20"/>
          <w:szCs w:val="20"/>
        </w:rPr>
      </w:pPr>
      <w:r w:rsidRPr="00D54F87">
        <w:rPr>
          <w:rFonts w:ascii="Arial" w:hAnsi="Arial" w:cs="Arial"/>
          <w:sz w:val="20"/>
          <w:szCs w:val="20"/>
        </w:rPr>
        <w:t xml:space="preserve">One hundred percent of the equity of Merryweather was acquired in this transaction. Deferred tax has been provided on the value of the intangible assets at the tax rate applicable at the time the asset is expected to be realised. Acquisition costs </w:t>
      </w:r>
      <w:r w:rsidRPr="00CD0D8C">
        <w:rPr>
          <w:rFonts w:ascii="Arial" w:hAnsi="Arial" w:cs="Arial"/>
          <w:sz w:val="20"/>
          <w:szCs w:val="20"/>
        </w:rPr>
        <w:t xml:space="preserve">of </w:t>
      </w:r>
      <w:r w:rsidRPr="00A43702">
        <w:rPr>
          <w:rFonts w:ascii="Arial" w:hAnsi="Arial" w:cs="Arial"/>
          <w:sz w:val="20"/>
          <w:szCs w:val="20"/>
        </w:rPr>
        <w:t>£</w:t>
      </w:r>
      <w:r>
        <w:rPr>
          <w:rFonts w:ascii="Arial" w:hAnsi="Arial" w:cs="Arial"/>
          <w:sz w:val="20"/>
          <w:szCs w:val="20"/>
        </w:rPr>
        <w:t>nil</w:t>
      </w:r>
      <w:r w:rsidRPr="00D54F87">
        <w:rPr>
          <w:rFonts w:ascii="Arial" w:hAnsi="Arial" w:cs="Arial"/>
          <w:sz w:val="20"/>
          <w:szCs w:val="20"/>
        </w:rPr>
        <w:t xml:space="preserve"> have been charged to profit or loss.</w:t>
      </w:r>
    </w:p>
    <w:p w14:paraId="265F71FC" w14:textId="77777777" w:rsidR="008C676E" w:rsidRDefault="008C676E" w:rsidP="008C676E">
      <w:pPr>
        <w:spacing w:after="0" w:line="240" w:lineRule="auto"/>
        <w:jc w:val="both"/>
        <w:rPr>
          <w:rFonts w:ascii="Arial" w:hAnsi="Arial" w:cs="Arial"/>
          <w:sz w:val="20"/>
          <w:szCs w:val="20"/>
        </w:rPr>
      </w:pPr>
    </w:p>
    <w:tbl>
      <w:tblPr>
        <w:tblW w:w="9752" w:type="dxa"/>
        <w:tblInd w:w="-30" w:type="dxa"/>
        <w:tblLayout w:type="fixed"/>
        <w:tblLook w:val="0000" w:firstRow="0" w:lastRow="0" w:firstColumn="0" w:lastColumn="0" w:noHBand="0" w:noVBand="0"/>
      </w:tblPr>
      <w:tblGrid>
        <w:gridCol w:w="6690"/>
        <w:gridCol w:w="1531"/>
        <w:gridCol w:w="1531"/>
      </w:tblGrid>
      <w:tr w:rsidR="008C676E" w:rsidRPr="004D7811" w14:paraId="35F0A923" w14:textId="77777777" w:rsidTr="00AB1DC6">
        <w:trPr>
          <w:trHeight w:val="283"/>
        </w:trPr>
        <w:tc>
          <w:tcPr>
            <w:tcW w:w="6690" w:type="dxa"/>
            <w:vAlign w:val="bottom"/>
          </w:tcPr>
          <w:p w14:paraId="36A4A511"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vAlign w:val="bottom"/>
          </w:tcPr>
          <w:p w14:paraId="655D52D1"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vAlign w:val="bottom"/>
          </w:tcPr>
          <w:p w14:paraId="483F0D5E"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B03C8E">
              <w:rPr>
                <w:rFonts w:ascii="Arial" w:hAnsi="Arial" w:cs="Arial"/>
                <w:b/>
                <w:bCs/>
                <w:color w:val="000000"/>
                <w:sz w:val="20"/>
                <w:szCs w:val="20"/>
              </w:rPr>
              <w:t>Fair value at acquisition</w:t>
            </w:r>
          </w:p>
        </w:tc>
      </w:tr>
      <w:tr w:rsidR="008C676E" w:rsidRPr="004D7811" w14:paraId="61309EDB" w14:textId="77777777" w:rsidTr="00AB1DC6">
        <w:trPr>
          <w:trHeight w:val="283"/>
        </w:trPr>
        <w:tc>
          <w:tcPr>
            <w:tcW w:w="6690" w:type="dxa"/>
            <w:tcBorders>
              <w:bottom w:val="single" w:sz="4" w:space="0" w:color="auto"/>
            </w:tcBorders>
            <w:vAlign w:val="bottom"/>
          </w:tcPr>
          <w:p w14:paraId="6C958352"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tcBorders>
              <w:bottom w:val="single" w:sz="4" w:space="0" w:color="auto"/>
            </w:tcBorders>
            <w:vAlign w:val="bottom"/>
          </w:tcPr>
          <w:p w14:paraId="3EDBD84D"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tcBorders>
              <w:bottom w:val="single" w:sz="4" w:space="0" w:color="auto"/>
            </w:tcBorders>
            <w:vAlign w:val="bottom"/>
          </w:tcPr>
          <w:p w14:paraId="1305D106" w14:textId="77777777" w:rsidR="008C676E" w:rsidRPr="00B03C8E" w:rsidRDefault="008C676E" w:rsidP="00AB1DC6">
            <w:pPr>
              <w:autoSpaceDE w:val="0"/>
              <w:autoSpaceDN w:val="0"/>
              <w:adjustRightInd w:val="0"/>
              <w:spacing w:after="0" w:line="0" w:lineRule="atLeast"/>
              <w:jc w:val="right"/>
              <w:rPr>
                <w:rFonts w:ascii="Arial" w:hAnsi="Arial" w:cs="Arial"/>
                <w:b/>
                <w:bCs/>
                <w:color w:val="000000"/>
                <w:sz w:val="20"/>
                <w:szCs w:val="20"/>
              </w:rPr>
            </w:pPr>
            <w:r w:rsidRPr="00B03C8E">
              <w:rPr>
                <w:rFonts w:ascii="Arial" w:hAnsi="Arial" w:cs="Arial"/>
                <w:b/>
                <w:bCs/>
                <w:color w:val="000000"/>
                <w:sz w:val="20"/>
                <w:szCs w:val="20"/>
              </w:rPr>
              <w:t>£’m</w:t>
            </w:r>
          </w:p>
        </w:tc>
      </w:tr>
      <w:tr w:rsidR="008C676E" w:rsidRPr="004D7811" w14:paraId="450F920A" w14:textId="77777777" w:rsidTr="00AB1DC6">
        <w:trPr>
          <w:trHeight w:val="283"/>
        </w:trPr>
        <w:tc>
          <w:tcPr>
            <w:tcW w:w="6690" w:type="dxa"/>
            <w:tcBorders>
              <w:top w:val="single" w:sz="4" w:space="0" w:color="auto"/>
            </w:tcBorders>
          </w:tcPr>
          <w:p w14:paraId="214B22EF"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7C6CAA">
              <w:rPr>
                <w:rFonts w:ascii="Arial" w:hAnsi="Arial" w:cs="Arial"/>
                <w:color w:val="000000"/>
                <w:sz w:val="20"/>
                <w:szCs w:val="20"/>
              </w:rPr>
              <w:t>Intangible assets – customer relationships</w:t>
            </w:r>
          </w:p>
        </w:tc>
        <w:tc>
          <w:tcPr>
            <w:tcW w:w="1531" w:type="dxa"/>
            <w:tcBorders>
              <w:top w:val="single" w:sz="4" w:space="0" w:color="auto"/>
            </w:tcBorders>
            <w:vAlign w:val="bottom"/>
          </w:tcPr>
          <w:p w14:paraId="5A87E977"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Borders>
              <w:top w:val="single" w:sz="4" w:space="0" w:color="auto"/>
            </w:tcBorders>
          </w:tcPr>
          <w:p w14:paraId="2B144E60"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4D3D02">
              <w:rPr>
                <w:rFonts w:ascii="Arial" w:hAnsi="Arial" w:cs="Arial"/>
                <w:color w:val="000000"/>
                <w:sz w:val="20"/>
                <w:szCs w:val="20"/>
              </w:rPr>
              <w:t>0.</w:t>
            </w:r>
            <w:r>
              <w:rPr>
                <w:rFonts w:ascii="Arial" w:hAnsi="Arial" w:cs="Arial"/>
                <w:color w:val="000000"/>
                <w:sz w:val="20"/>
                <w:szCs w:val="20"/>
              </w:rPr>
              <w:t>4</w:t>
            </w:r>
          </w:p>
        </w:tc>
      </w:tr>
      <w:tr w:rsidR="008C676E" w:rsidRPr="004D7811" w14:paraId="64CB303E" w14:textId="77777777" w:rsidTr="00AB1DC6">
        <w:trPr>
          <w:trHeight w:val="283"/>
        </w:trPr>
        <w:tc>
          <w:tcPr>
            <w:tcW w:w="6690" w:type="dxa"/>
          </w:tcPr>
          <w:p w14:paraId="01626952"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7C6CAA">
              <w:rPr>
                <w:rFonts w:ascii="Arial" w:hAnsi="Arial" w:cs="Arial"/>
                <w:color w:val="000000"/>
                <w:sz w:val="20"/>
                <w:szCs w:val="20"/>
              </w:rPr>
              <w:t>Trade and other receivables</w:t>
            </w:r>
          </w:p>
        </w:tc>
        <w:tc>
          <w:tcPr>
            <w:tcW w:w="1531" w:type="dxa"/>
            <w:vAlign w:val="bottom"/>
          </w:tcPr>
          <w:p w14:paraId="376F208B"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Pr>
          <w:p w14:paraId="3D403F5A"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4D3D02">
              <w:rPr>
                <w:rFonts w:ascii="Arial" w:hAnsi="Arial" w:cs="Arial"/>
                <w:color w:val="000000"/>
                <w:sz w:val="20"/>
                <w:szCs w:val="20"/>
              </w:rPr>
              <w:t>0.</w:t>
            </w:r>
            <w:r>
              <w:rPr>
                <w:rFonts w:ascii="Arial" w:hAnsi="Arial" w:cs="Arial"/>
                <w:color w:val="000000"/>
                <w:sz w:val="20"/>
                <w:szCs w:val="20"/>
              </w:rPr>
              <w:t>1</w:t>
            </w:r>
          </w:p>
        </w:tc>
      </w:tr>
      <w:tr w:rsidR="008C676E" w:rsidRPr="004D7811" w14:paraId="461C14CA" w14:textId="77777777" w:rsidTr="00AB1DC6">
        <w:trPr>
          <w:trHeight w:val="283"/>
        </w:trPr>
        <w:tc>
          <w:tcPr>
            <w:tcW w:w="6690" w:type="dxa"/>
          </w:tcPr>
          <w:p w14:paraId="62069E7A"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7C6CAA">
              <w:rPr>
                <w:rFonts w:ascii="Arial" w:hAnsi="Arial" w:cs="Arial"/>
                <w:color w:val="000000"/>
                <w:sz w:val="20"/>
                <w:szCs w:val="20"/>
              </w:rPr>
              <w:t>Cash</w:t>
            </w:r>
          </w:p>
        </w:tc>
        <w:tc>
          <w:tcPr>
            <w:tcW w:w="1531" w:type="dxa"/>
            <w:vAlign w:val="bottom"/>
          </w:tcPr>
          <w:p w14:paraId="32FA9400"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Pr>
          <w:p w14:paraId="520C8A22"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4D3D02">
              <w:rPr>
                <w:rFonts w:ascii="Arial" w:hAnsi="Arial" w:cs="Arial"/>
                <w:color w:val="000000"/>
                <w:sz w:val="20"/>
                <w:szCs w:val="20"/>
              </w:rPr>
              <w:t>0.1</w:t>
            </w:r>
          </w:p>
        </w:tc>
      </w:tr>
      <w:tr w:rsidR="008C676E" w:rsidRPr="004D7811" w14:paraId="15073CA8" w14:textId="77777777" w:rsidTr="00AB1DC6">
        <w:trPr>
          <w:trHeight w:val="283"/>
        </w:trPr>
        <w:tc>
          <w:tcPr>
            <w:tcW w:w="6690" w:type="dxa"/>
            <w:shd w:val="clear" w:color="auto" w:fill="auto"/>
          </w:tcPr>
          <w:p w14:paraId="3E566C70"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Deferred tax liabilities</w:t>
            </w:r>
          </w:p>
        </w:tc>
        <w:tc>
          <w:tcPr>
            <w:tcW w:w="1531" w:type="dxa"/>
            <w:vAlign w:val="bottom"/>
          </w:tcPr>
          <w:p w14:paraId="148AE37A"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tcPr>
          <w:p w14:paraId="2F456A2E" w14:textId="77777777" w:rsidR="008C676E" w:rsidRPr="00B03C8E" w:rsidRDefault="008C676E" w:rsidP="00AB1DC6">
            <w:pPr>
              <w:autoSpaceDE w:val="0"/>
              <w:autoSpaceDN w:val="0"/>
              <w:adjustRightInd w:val="0"/>
              <w:spacing w:after="0" w:line="0" w:lineRule="atLeast"/>
              <w:jc w:val="right"/>
              <w:rPr>
                <w:rFonts w:ascii="Arial" w:hAnsi="Arial" w:cs="Arial"/>
                <w:color w:val="000000"/>
                <w:sz w:val="20"/>
                <w:szCs w:val="20"/>
              </w:rPr>
            </w:pPr>
            <w:r w:rsidRPr="004D3D02">
              <w:rPr>
                <w:rFonts w:ascii="Arial" w:hAnsi="Arial" w:cs="Arial"/>
                <w:color w:val="000000"/>
                <w:sz w:val="20"/>
                <w:szCs w:val="20"/>
              </w:rPr>
              <w:t>(0.</w:t>
            </w:r>
            <w:r>
              <w:rPr>
                <w:rFonts w:ascii="Arial" w:hAnsi="Arial" w:cs="Arial"/>
                <w:color w:val="000000"/>
                <w:sz w:val="20"/>
                <w:szCs w:val="20"/>
              </w:rPr>
              <w:t>1</w:t>
            </w:r>
            <w:r w:rsidRPr="004D3D02">
              <w:rPr>
                <w:rFonts w:ascii="Arial" w:hAnsi="Arial" w:cs="Arial"/>
                <w:color w:val="000000"/>
                <w:sz w:val="20"/>
                <w:szCs w:val="20"/>
              </w:rPr>
              <w:t>)</w:t>
            </w:r>
          </w:p>
        </w:tc>
      </w:tr>
      <w:tr w:rsidR="008C676E" w:rsidRPr="004D7811" w14:paraId="6DACFD9F" w14:textId="77777777" w:rsidTr="00AB1DC6">
        <w:trPr>
          <w:trHeight w:val="283"/>
        </w:trPr>
        <w:tc>
          <w:tcPr>
            <w:tcW w:w="6690" w:type="dxa"/>
            <w:tcBorders>
              <w:top w:val="single" w:sz="4" w:space="0" w:color="auto"/>
              <w:bottom w:val="single" w:sz="4" w:space="0" w:color="auto"/>
            </w:tcBorders>
            <w:shd w:val="clear" w:color="auto" w:fill="auto"/>
            <w:vAlign w:val="bottom"/>
          </w:tcPr>
          <w:p w14:paraId="51AEB99E" w14:textId="77777777" w:rsidR="008C676E" w:rsidRPr="009B1780" w:rsidRDefault="008C676E" w:rsidP="00AB1DC6">
            <w:pPr>
              <w:autoSpaceDE w:val="0"/>
              <w:autoSpaceDN w:val="0"/>
              <w:adjustRightInd w:val="0"/>
              <w:spacing w:after="0" w:line="0" w:lineRule="atLeast"/>
              <w:rPr>
                <w:rFonts w:ascii="Arial" w:hAnsi="Arial" w:cs="Arial"/>
                <w:b/>
                <w:bCs/>
                <w:color w:val="000000"/>
                <w:sz w:val="20"/>
                <w:szCs w:val="20"/>
              </w:rPr>
            </w:pPr>
            <w:r w:rsidRPr="009B1780">
              <w:rPr>
                <w:rFonts w:ascii="Arial" w:hAnsi="Arial" w:cs="Arial"/>
                <w:b/>
                <w:bCs/>
                <w:color w:val="000000"/>
                <w:sz w:val="20"/>
                <w:szCs w:val="20"/>
              </w:rPr>
              <w:t>Net assets acquired</w:t>
            </w:r>
          </w:p>
        </w:tc>
        <w:tc>
          <w:tcPr>
            <w:tcW w:w="1531" w:type="dxa"/>
            <w:tcBorders>
              <w:top w:val="single" w:sz="4" w:space="0" w:color="auto"/>
              <w:bottom w:val="single" w:sz="4" w:space="0" w:color="auto"/>
            </w:tcBorders>
            <w:vAlign w:val="bottom"/>
          </w:tcPr>
          <w:p w14:paraId="3713D244" w14:textId="77777777" w:rsidR="008C676E" w:rsidRPr="009B178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0E765BD0" w14:textId="77777777" w:rsidR="008C676E" w:rsidRPr="009B1780"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0.5</w:t>
            </w:r>
          </w:p>
        </w:tc>
      </w:tr>
      <w:tr w:rsidR="008C676E" w:rsidRPr="004D7811" w14:paraId="33C47B66" w14:textId="77777777" w:rsidTr="00AB1DC6">
        <w:trPr>
          <w:trHeight w:val="283"/>
        </w:trPr>
        <w:tc>
          <w:tcPr>
            <w:tcW w:w="6690" w:type="dxa"/>
            <w:tcBorders>
              <w:top w:val="single" w:sz="4" w:space="0" w:color="auto"/>
              <w:bottom w:val="single" w:sz="4" w:space="0" w:color="auto"/>
            </w:tcBorders>
            <w:shd w:val="clear" w:color="auto" w:fill="auto"/>
            <w:vAlign w:val="bottom"/>
          </w:tcPr>
          <w:p w14:paraId="208AAC68"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Goodwill</w:t>
            </w:r>
          </w:p>
        </w:tc>
        <w:tc>
          <w:tcPr>
            <w:tcW w:w="1531" w:type="dxa"/>
            <w:tcBorders>
              <w:top w:val="single" w:sz="4" w:space="0" w:color="auto"/>
              <w:bottom w:val="single" w:sz="4" w:space="0" w:color="auto"/>
            </w:tcBorders>
            <w:vAlign w:val="bottom"/>
          </w:tcPr>
          <w:p w14:paraId="0304DE23"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6CCA9BB6"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0.4</w:t>
            </w:r>
          </w:p>
        </w:tc>
      </w:tr>
      <w:tr w:rsidR="008C676E" w:rsidRPr="004D7811" w14:paraId="7E474D37" w14:textId="77777777" w:rsidTr="00AB1DC6">
        <w:trPr>
          <w:trHeight w:val="283"/>
        </w:trPr>
        <w:tc>
          <w:tcPr>
            <w:tcW w:w="6690" w:type="dxa"/>
            <w:tcBorders>
              <w:top w:val="single" w:sz="4" w:space="0" w:color="auto"/>
              <w:bottom w:val="single" w:sz="4" w:space="0" w:color="auto"/>
            </w:tcBorders>
            <w:shd w:val="clear" w:color="auto" w:fill="auto"/>
            <w:vAlign w:val="bottom"/>
          </w:tcPr>
          <w:p w14:paraId="13BEC037" w14:textId="77777777" w:rsidR="008C676E" w:rsidRPr="00187457" w:rsidRDefault="008C676E" w:rsidP="00AB1DC6">
            <w:pPr>
              <w:autoSpaceDE w:val="0"/>
              <w:autoSpaceDN w:val="0"/>
              <w:adjustRightInd w:val="0"/>
              <w:spacing w:after="0" w:line="0" w:lineRule="atLeast"/>
              <w:rPr>
                <w:rFonts w:ascii="Arial" w:hAnsi="Arial" w:cs="Arial"/>
                <w:b/>
                <w:bCs/>
                <w:color w:val="000000"/>
                <w:sz w:val="20"/>
                <w:szCs w:val="20"/>
              </w:rPr>
            </w:pPr>
            <w:r w:rsidRPr="00187457">
              <w:rPr>
                <w:rFonts w:ascii="Arial" w:hAnsi="Arial" w:cs="Arial"/>
                <w:b/>
                <w:bCs/>
                <w:color w:val="000000"/>
                <w:sz w:val="20"/>
                <w:szCs w:val="20"/>
              </w:rPr>
              <w:t>Consideration</w:t>
            </w:r>
          </w:p>
        </w:tc>
        <w:tc>
          <w:tcPr>
            <w:tcW w:w="1531" w:type="dxa"/>
            <w:tcBorders>
              <w:top w:val="single" w:sz="4" w:space="0" w:color="auto"/>
              <w:bottom w:val="single" w:sz="4" w:space="0" w:color="auto"/>
            </w:tcBorders>
            <w:vAlign w:val="bottom"/>
          </w:tcPr>
          <w:p w14:paraId="17E0AE63" w14:textId="77777777" w:rsidR="008C676E" w:rsidRPr="00187457"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218ECC7B" w14:textId="77777777" w:rsidR="008C676E" w:rsidRPr="00187457"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0.9</w:t>
            </w:r>
          </w:p>
        </w:tc>
      </w:tr>
      <w:tr w:rsidR="008C676E" w:rsidRPr="004D7811" w14:paraId="36B0103B" w14:textId="77777777" w:rsidTr="00AB1DC6">
        <w:trPr>
          <w:trHeight w:val="283"/>
        </w:trPr>
        <w:tc>
          <w:tcPr>
            <w:tcW w:w="6690" w:type="dxa"/>
            <w:tcBorders>
              <w:top w:val="single" w:sz="4" w:space="0" w:color="auto"/>
            </w:tcBorders>
            <w:shd w:val="clear" w:color="auto" w:fill="auto"/>
            <w:vAlign w:val="bottom"/>
          </w:tcPr>
          <w:p w14:paraId="106A4293"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Satisfied by:</w:t>
            </w:r>
          </w:p>
        </w:tc>
        <w:tc>
          <w:tcPr>
            <w:tcW w:w="1531" w:type="dxa"/>
            <w:tcBorders>
              <w:top w:val="single" w:sz="4" w:space="0" w:color="auto"/>
            </w:tcBorders>
            <w:vAlign w:val="bottom"/>
          </w:tcPr>
          <w:p w14:paraId="5788C42A"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tcBorders>
            <w:shd w:val="clear" w:color="auto" w:fill="auto"/>
            <w:vAlign w:val="bottom"/>
          </w:tcPr>
          <w:p w14:paraId="34DA5307"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2491A1BB" w14:textId="77777777" w:rsidTr="00AB1DC6">
        <w:trPr>
          <w:trHeight w:val="283"/>
        </w:trPr>
        <w:tc>
          <w:tcPr>
            <w:tcW w:w="6690" w:type="dxa"/>
            <w:shd w:val="clear" w:color="auto" w:fill="auto"/>
            <w:vAlign w:val="bottom"/>
          </w:tcPr>
          <w:p w14:paraId="1B6B755D"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Cash to vendors</w:t>
            </w:r>
          </w:p>
        </w:tc>
        <w:tc>
          <w:tcPr>
            <w:tcW w:w="1531" w:type="dxa"/>
            <w:vAlign w:val="bottom"/>
          </w:tcPr>
          <w:p w14:paraId="048220AB"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0F2BF639"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0.7</w:t>
            </w:r>
          </w:p>
        </w:tc>
      </w:tr>
      <w:tr w:rsidR="008C676E" w:rsidRPr="004D7811" w14:paraId="00EA1262" w14:textId="77777777" w:rsidTr="00AB1DC6">
        <w:trPr>
          <w:trHeight w:val="283"/>
        </w:trPr>
        <w:tc>
          <w:tcPr>
            <w:tcW w:w="6690" w:type="dxa"/>
            <w:tcBorders>
              <w:bottom w:val="double" w:sz="4" w:space="0" w:color="auto"/>
            </w:tcBorders>
            <w:shd w:val="clear" w:color="auto" w:fill="auto"/>
            <w:vAlign w:val="bottom"/>
          </w:tcPr>
          <w:p w14:paraId="01F63F2E"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Contingent cash consideration to vendors</w:t>
            </w:r>
          </w:p>
        </w:tc>
        <w:tc>
          <w:tcPr>
            <w:tcW w:w="1531" w:type="dxa"/>
            <w:tcBorders>
              <w:bottom w:val="double" w:sz="4" w:space="0" w:color="auto"/>
            </w:tcBorders>
            <w:vAlign w:val="bottom"/>
          </w:tcPr>
          <w:p w14:paraId="5EE27CAF"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bottom w:val="double" w:sz="4" w:space="0" w:color="auto"/>
            </w:tcBorders>
            <w:shd w:val="clear" w:color="auto" w:fill="auto"/>
            <w:vAlign w:val="bottom"/>
          </w:tcPr>
          <w:p w14:paraId="31D62F87"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0.2</w:t>
            </w:r>
          </w:p>
        </w:tc>
      </w:tr>
    </w:tbl>
    <w:p w14:paraId="2ECFDFE4" w14:textId="77777777" w:rsidR="008C676E" w:rsidRDefault="008C676E" w:rsidP="008C676E">
      <w:pPr>
        <w:spacing w:after="0" w:line="240" w:lineRule="auto"/>
        <w:jc w:val="both"/>
        <w:rPr>
          <w:rFonts w:ascii="Arial" w:hAnsi="Arial" w:cs="Arial"/>
          <w:sz w:val="20"/>
          <w:szCs w:val="20"/>
        </w:rPr>
      </w:pPr>
    </w:p>
    <w:p w14:paraId="77CD00B2" w14:textId="510FB1FF" w:rsidR="008C676E" w:rsidRDefault="008C676E" w:rsidP="008C676E">
      <w:pPr>
        <w:spacing w:after="0" w:line="240" w:lineRule="auto"/>
        <w:jc w:val="both"/>
        <w:rPr>
          <w:rFonts w:ascii="Arial" w:hAnsi="Arial" w:cs="Arial"/>
          <w:sz w:val="20"/>
          <w:szCs w:val="20"/>
        </w:rPr>
      </w:pPr>
      <w:r w:rsidRPr="00D54F87">
        <w:rPr>
          <w:rFonts w:ascii="Arial" w:hAnsi="Arial" w:cs="Arial"/>
          <w:sz w:val="20"/>
          <w:szCs w:val="20"/>
        </w:rPr>
        <w:t>If the acquisition had been completed on the first day of the financial year Merryweather would have generated £</w:t>
      </w:r>
      <w:r w:rsidR="00C661FD">
        <w:rPr>
          <w:rFonts w:ascii="Arial" w:hAnsi="Arial" w:cs="Arial"/>
          <w:sz w:val="20"/>
          <w:szCs w:val="20"/>
        </w:rPr>
        <w:t>0.8</w:t>
      </w:r>
      <w:r w:rsidRPr="00D54F87">
        <w:rPr>
          <w:rFonts w:ascii="Arial" w:hAnsi="Arial" w:cs="Arial"/>
          <w:sz w:val="20"/>
          <w:szCs w:val="20"/>
        </w:rPr>
        <w:t>m revenue and £0.3m profit before tax.</w:t>
      </w:r>
    </w:p>
    <w:p w14:paraId="0EA0B453" w14:textId="77777777" w:rsidR="008C676E" w:rsidRDefault="008C676E" w:rsidP="008C676E">
      <w:pPr>
        <w:spacing w:after="0" w:line="240" w:lineRule="auto"/>
        <w:jc w:val="both"/>
        <w:rPr>
          <w:rFonts w:ascii="Arial" w:hAnsi="Arial" w:cs="Arial"/>
          <w:sz w:val="20"/>
          <w:szCs w:val="20"/>
        </w:rPr>
      </w:pPr>
    </w:p>
    <w:p w14:paraId="46329591" w14:textId="77777777" w:rsidR="008C676E" w:rsidRDefault="008C676E" w:rsidP="008C676E">
      <w:pPr>
        <w:spacing w:after="0" w:line="240" w:lineRule="auto"/>
        <w:jc w:val="both"/>
        <w:rPr>
          <w:rFonts w:ascii="Arial" w:hAnsi="Arial" w:cs="Arial"/>
          <w:sz w:val="20"/>
          <w:szCs w:val="20"/>
        </w:rPr>
      </w:pPr>
      <w:r w:rsidRPr="003D7C33">
        <w:rPr>
          <w:rFonts w:ascii="Arial" w:hAnsi="Arial" w:cs="Arial"/>
          <w:sz w:val="20"/>
          <w:szCs w:val="20"/>
        </w:rPr>
        <w:t>Post completion, the acquisition of Merryweather contributed £0.4m revenue and £0.2m profit before tax.</w:t>
      </w:r>
    </w:p>
    <w:p w14:paraId="20785DA8" w14:textId="77777777" w:rsidR="008C676E" w:rsidRDefault="008C676E" w:rsidP="008C676E">
      <w:pPr>
        <w:spacing w:after="0" w:line="240" w:lineRule="auto"/>
        <w:jc w:val="both"/>
        <w:rPr>
          <w:rFonts w:ascii="Arial" w:hAnsi="Arial" w:cs="Arial"/>
          <w:sz w:val="20"/>
          <w:szCs w:val="20"/>
          <w:highlight w:val="yellow"/>
        </w:rPr>
      </w:pPr>
    </w:p>
    <w:p w14:paraId="44ADB3B3" w14:textId="77777777" w:rsidR="008C676E" w:rsidRPr="008729C1" w:rsidRDefault="008C676E" w:rsidP="008C676E">
      <w:pPr>
        <w:spacing w:after="0" w:line="240" w:lineRule="auto"/>
        <w:jc w:val="both"/>
        <w:rPr>
          <w:rFonts w:ascii="Arial" w:hAnsi="Arial" w:cs="Arial"/>
          <w:sz w:val="20"/>
          <w:szCs w:val="20"/>
          <w:u w:val="single"/>
        </w:rPr>
      </w:pPr>
      <w:r w:rsidRPr="008729C1">
        <w:rPr>
          <w:rFonts w:ascii="Arial" w:hAnsi="Arial" w:cs="Arial"/>
          <w:sz w:val="20"/>
          <w:szCs w:val="20"/>
          <w:u w:val="single"/>
        </w:rPr>
        <w:t>Acquisition of IMSM Holdings Limited &amp; International Management Systems Marketing Limited</w:t>
      </w:r>
    </w:p>
    <w:p w14:paraId="56D3A04F" w14:textId="77777777" w:rsidR="008C676E" w:rsidRDefault="008C676E" w:rsidP="008C676E">
      <w:pPr>
        <w:spacing w:after="0" w:line="240" w:lineRule="auto"/>
        <w:jc w:val="both"/>
        <w:rPr>
          <w:rFonts w:ascii="Arial" w:hAnsi="Arial" w:cs="Arial"/>
          <w:sz w:val="20"/>
          <w:szCs w:val="20"/>
        </w:rPr>
      </w:pPr>
    </w:p>
    <w:p w14:paraId="0FB9DF14" w14:textId="622C6232" w:rsidR="008C676E" w:rsidRPr="00053BFC" w:rsidRDefault="008C676E" w:rsidP="008C676E">
      <w:pPr>
        <w:spacing w:after="0" w:line="240" w:lineRule="auto"/>
        <w:jc w:val="both"/>
        <w:rPr>
          <w:rFonts w:ascii="Arial" w:hAnsi="Arial" w:cs="Arial"/>
          <w:sz w:val="20"/>
          <w:szCs w:val="20"/>
        </w:rPr>
      </w:pPr>
      <w:r w:rsidRPr="00053BFC">
        <w:rPr>
          <w:rFonts w:ascii="Arial" w:hAnsi="Arial" w:cs="Arial"/>
          <w:sz w:val="20"/>
          <w:szCs w:val="20"/>
        </w:rPr>
        <w:t xml:space="preserve">On 25 July 2023 the Group acquired IMSM Holdings Limited &amp; International Management Systems Marketing </w:t>
      </w:r>
      <w:r w:rsidRPr="00CA0861">
        <w:rPr>
          <w:rFonts w:ascii="Arial" w:hAnsi="Arial" w:cs="Arial"/>
          <w:sz w:val="20"/>
          <w:szCs w:val="20"/>
        </w:rPr>
        <w:t xml:space="preserve">Limited (together “IMSM”), a provider of ISO certification and consultancy services for a total consideration of </w:t>
      </w:r>
      <w:r w:rsidRPr="00A43702">
        <w:rPr>
          <w:rFonts w:ascii="Arial" w:hAnsi="Arial" w:cs="Arial"/>
          <w:sz w:val="20"/>
          <w:szCs w:val="20"/>
        </w:rPr>
        <w:t>£20.6m</w:t>
      </w:r>
      <w:r w:rsidRPr="00CA0861">
        <w:rPr>
          <w:rFonts w:ascii="Arial" w:hAnsi="Arial" w:cs="Arial"/>
          <w:sz w:val="20"/>
          <w:szCs w:val="20"/>
        </w:rPr>
        <w:t>, satisfied by the payment of £15.6m in cash and issuance of £3.0m of share-based consideration upon completion and £2.0m payable subject to the achievement of certain performance targets by the acquired busine</w:t>
      </w:r>
      <w:r w:rsidRPr="00053BFC">
        <w:rPr>
          <w:rFonts w:ascii="Arial" w:hAnsi="Arial" w:cs="Arial"/>
          <w:sz w:val="20"/>
          <w:szCs w:val="20"/>
        </w:rPr>
        <w:t xml:space="preserve">ss 12 months </w:t>
      </w:r>
      <w:proofErr w:type="spellStart"/>
      <w:r w:rsidRPr="00053BFC">
        <w:rPr>
          <w:rFonts w:ascii="Arial" w:hAnsi="Arial" w:cs="Arial"/>
          <w:sz w:val="20"/>
          <w:szCs w:val="20"/>
        </w:rPr>
        <w:t>post acquisition</w:t>
      </w:r>
      <w:proofErr w:type="spellEnd"/>
      <w:r w:rsidRPr="00053BFC">
        <w:rPr>
          <w:rFonts w:ascii="Arial" w:hAnsi="Arial" w:cs="Arial"/>
          <w:sz w:val="20"/>
          <w:szCs w:val="20"/>
        </w:rPr>
        <w:t>. The £2.0m contingent consideration payable has been discounted to its present value of £1.7m by applying the weighted average cost of capital used in the purchase price allocation.</w:t>
      </w:r>
    </w:p>
    <w:p w14:paraId="68AFB6B7" w14:textId="77777777" w:rsidR="008C676E" w:rsidRPr="00053BFC" w:rsidRDefault="008C676E" w:rsidP="008C676E">
      <w:pPr>
        <w:spacing w:after="0" w:line="240" w:lineRule="auto"/>
        <w:jc w:val="both"/>
        <w:rPr>
          <w:rFonts w:ascii="Arial" w:hAnsi="Arial" w:cs="Arial"/>
          <w:sz w:val="20"/>
          <w:szCs w:val="20"/>
        </w:rPr>
      </w:pPr>
    </w:p>
    <w:p w14:paraId="38016A04" w14:textId="77777777" w:rsidR="008C676E" w:rsidRDefault="008C676E" w:rsidP="008C676E">
      <w:pPr>
        <w:spacing w:after="0" w:line="240" w:lineRule="auto"/>
        <w:jc w:val="both"/>
        <w:rPr>
          <w:rFonts w:ascii="Arial" w:hAnsi="Arial" w:cs="Arial"/>
          <w:sz w:val="20"/>
          <w:szCs w:val="20"/>
        </w:rPr>
      </w:pPr>
      <w:r w:rsidRPr="00053BFC">
        <w:rPr>
          <w:rFonts w:ascii="Arial" w:hAnsi="Arial" w:cs="Arial"/>
          <w:sz w:val="20"/>
          <w:szCs w:val="20"/>
        </w:rPr>
        <w:t xml:space="preserve">One hundred percent of the equity of IMSM was acquired in this transaction. Deferred tax has been provided on the value of the intangible assets at the tax rate applicable at the time the asset is expected to be realised. Acquisition </w:t>
      </w:r>
      <w:r w:rsidRPr="00086D71">
        <w:rPr>
          <w:rFonts w:ascii="Arial" w:hAnsi="Arial" w:cs="Arial"/>
          <w:sz w:val="20"/>
          <w:szCs w:val="20"/>
        </w:rPr>
        <w:t xml:space="preserve">costs of </w:t>
      </w:r>
      <w:r w:rsidRPr="00A43702">
        <w:rPr>
          <w:rFonts w:ascii="Arial" w:hAnsi="Arial" w:cs="Arial"/>
          <w:sz w:val="20"/>
          <w:szCs w:val="20"/>
        </w:rPr>
        <w:t>£</w:t>
      </w:r>
      <w:r w:rsidRPr="00086D71">
        <w:rPr>
          <w:rFonts w:ascii="Arial" w:hAnsi="Arial" w:cs="Arial"/>
          <w:sz w:val="20"/>
          <w:szCs w:val="20"/>
        </w:rPr>
        <w:t>0.</w:t>
      </w:r>
      <w:r>
        <w:rPr>
          <w:rFonts w:ascii="Arial" w:hAnsi="Arial" w:cs="Arial"/>
          <w:sz w:val="20"/>
          <w:szCs w:val="20"/>
        </w:rPr>
        <w:t>2</w:t>
      </w:r>
      <w:r w:rsidRPr="00086D71">
        <w:rPr>
          <w:rFonts w:ascii="Arial" w:hAnsi="Arial" w:cs="Arial"/>
          <w:sz w:val="20"/>
          <w:szCs w:val="20"/>
        </w:rPr>
        <w:t>m have been charged to profit or loss.</w:t>
      </w:r>
    </w:p>
    <w:p w14:paraId="07144B30" w14:textId="77777777" w:rsidR="0051500E" w:rsidRDefault="0051500E" w:rsidP="008C676E">
      <w:pPr>
        <w:spacing w:after="0" w:line="240" w:lineRule="auto"/>
        <w:jc w:val="both"/>
        <w:rPr>
          <w:rFonts w:ascii="Arial" w:hAnsi="Arial" w:cs="Arial"/>
          <w:sz w:val="20"/>
          <w:szCs w:val="20"/>
        </w:rPr>
      </w:pPr>
    </w:p>
    <w:p w14:paraId="28A56950" w14:textId="77777777" w:rsidR="0051500E" w:rsidRDefault="0051500E" w:rsidP="008C676E">
      <w:pPr>
        <w:spacing w:after="0" w:line="240" w:lineRule="auto"/>
        <w:jc w:val="both"/>
        <w:rPr>
          <w:rFonts w:ascii="Arial" w:hAnsi="Arial" w:cs="Arial"/>
          <w:sz w:val="20"/>
          <w:szCs w:val="20"/>
        </w:rPr>
      </w:pPr>
    </w:p>
    <w:p w14:paraId="02275190" w14:textId="77777777" w:rsidR="0051500E" w:rsidRDefault="0051500E" w:rsidP="008C676E">
      <w:pPr>
        <w:spacing w:after="0" w:line="240" w:lineRule="auto"/>
        <w:jc w:val="both"/>
        <w:rPr>
          <w:rFonts w:ascii="Arial" w:hAnsi="Arial" w:cs="Arial"/>
          <w:sz w:val="20"/>
          <w:szCs w:val="20"/>
        </w:rPr>
      </w:pPr>
    </w:p>
    <w:p w14:paraId="42B96D00" w14:textId="77777777" w:rsidR="0051500E" w:rsidRDefault="0051500E" w:rsidP="008C676E">
      <w:pPr>
        <w:spacing w:after="0" w:line="240" w:lineRule="auto"/>
        <w:jc w:val="both"/>
        <w:rPr>
          <w:rFonts w:ascii="Arial" w:hAnsi="Arial" w:cs="Arial"/>
          <w:sz w:val="20"/>
          <w:szCs w:val="20"/>
        </w:rPr>
      </w:pPr>
    </w:p>
    <w:p w14:paraId="6E50525B" w14:textId="77777777" w:rsidR="0051500E" w:rsidRDefault="0051500E" w:rsidP="008C676E">
      <w:pPr>
        <w:spacing w:after="0" w:line="240" w:lineRule="auto"/>
        <w:jc w:val="both"/>
        <w:rPr>
          <w:rFonts w:ascii="Arial" w:hAnsi="Arial" w:cs="Arial"/>
          <w:sz w:val="20"/>
          <w:szCs w:val="20"/>
        </w:rPr>
      </w:pPr>
    </w:p>
    <w:p w14:paraId="4E978FD5" w14:textId="77777777" w:rsidR="0051500E" w:rsidRDefault="0051500E" w:rsidP="008C676E">
      <w:pPr>
        <w:spacing w:after="0" w:line="240" w:lineRule="auto"/>
        <w:jc w:val="both"/>
        <w:rPr>
          <w:rFonts w:ascii="Arial" w:hAnsi="Arial" w:cs="Arial"/>
          <w:sz w:val="20"/>
          <w:szCs w:val="20"/>
        </w:rPr>
      </w:pPr>
    </w:p>
    <w:p w14:paraId="313F16F6" w14:textId="77777777" w:rsidR="00382CD4" w:rsidRDefault="00382CD4" w:rsidP="008C676E">
      <w:pPr>
        <w:spacing w:after="0" w:line="240" w:lineRule="auto"/>
        <w:jc w:val="both"/>
        <w:rPr>
          <w:rFonts w:ascii="Arial" w:hAnsi="Arial" w:cs="Arial"/>
          <w:sz w:val="20"/>
          <w:szCs w:val="20"/>
        </w:rPr>
      </w:pPr>
    </w:p>
    <w:p w14:paraId="2F22385E" w14:textId="77777777" w:rsidR="0051500E" w:rsidRDefault="0051500E" w:rsidP="008C676E">
      <w:pPr>
        <w:spacing w:after="0" w:line="240" w:lineRule="auto"/>
        <w:jc w:val="both"/>
        <w:rPr>
          <w:rFonts w:ascii="Arial" w:hAnsi="Arial" w:cs="Arial"/>
          <w:sz w:val="20"/>
          <w:szCs w:val="20"/>
        </w:rPr>
      </w:pPr>
    </w:p>
    <w:p w14:paraId="49FBE5DA" w14:textId="77777777" w:rsidR="0051500E" w:rsidRDefault="0051500E" w:rsidP="008C676E">
      <w:pPr>
        <w:spacing w:after="0" w:line="240" w:lineRule="auto"/>
        <w:jc w:val="both"/>
        <w:rPr>
          <w:rFonts w:ascii="Arial" w:hAnsi="Arial" w:cs="Arial"/>
          <w:sz w:val="20"/>
          <w:szCs w:val="20"/>
        </w:rPr>
      </w:pPr>
    </w:p>
    <w:p w14:paraId="54211D15" w14:textId="77777777" w:rsidR="0051500E" w:rsidRDefault="0051500E" w:rsidP="008C676E">
      <w:pPr>
        <w:spacing w:after="0" w:line="240" w:lineRule="auto"/>
        <w:jc w:val="both"/>
        <w:rPr>
          <w:rFonts w:ascii="Arial" w:hAnsi="Arial" w:cs="Arial"/>
          <w:sz w:val="20"/>
          <w:szCs w:val="20"/>
        </w:rPr>
      </w:pPr>
    </w:p>
    <w:p w14:paraId="352D54CB" w14:textId="77777777" w:rsidR="0051500E" w:rsidRPr="00053BFC" w:rsidRDefault="0051500E" w:rsidP="008C676E">
      <w:pPr>
        <w:spacing w:after="0" w:line="240" w:lineRule="auto"/>
        <w:jc w:val="both"/>
        <w:rPr>
          <w:rFonts w:ascii="Arial" w:hAnsi="Arial" w:cs="Arial"/>
          <w:sz w:val="20"/>
          <w:szCs w:val="20"/>
        </w:rPr>
      </w:pPr>
    </w:p>
    <w:p w14:paraId="294CE5A2" w14:textId="77777777" w:rsidR="008C676E" w:rsidRDefault="008C676E" w:rsidP="008C676E">
      <w:pPr>
        <w:spacing w:after="0" w:line="240" w:lineRule="auto"/>
        <w:jc w:val="both"/>
        <w:rPr>
          <w:rFonts w:ascii="Arial" w:hAnsi="Arial" w:cs="Arial"/>
          <w:sz w:val="20"/>
          <w:szCs w:val="20"/>
        </w:rPr>
      </w:pPr>
    </w:p>
    <w:tbl>
      <w:tblPr>
        <w:tblW w:w="9752" w:type="dxa"/>
        <w:tblInd w:w="-30" w:type="dxa"/>
        <w:tblLayout w:type="fixed"/>
        <w:tblLook w:val="0000" w:firstRow="0" w:lastRow="0" w:firstColumn="0" w:lastColumn="0" w:noHBand="0" w:noVBand="0"/>
      </w:tblPr>
      <w:tblGrid>
        <w:gridCol w:w="6690"/>
        <w:gridCol w:w="1531"/>
        <w:gridCol w:w="1531"/>
      </w:tblGrid>
      <w:tr w:rsidR="008C676E" w:rsidRPr="004D7811" w14:paraId="3C69E9CF" w14:textId="77777777" w:rsidTr="00AB1DC6">
        <w:trPr>
          <w:trHeight w:val="283"/>
        </w:trPr>
        <w:tc>
          <w:tcPr>
            <w:tcW w:w="6690" w:type="dxa"/>
            <w:vAlign w:val="bottom"/>
          </w:tcPr>
          <w:p w14:paraId="06124AF3"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vAlign w:val="bottom"/>
          </w:tcPr>
          <w:p w14:paraId="06D2109E"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vAlign w:val="bottom"/>
          </w:tcPr>
          <w:p w14:paraId="43D423B0"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b/>
                <w:bCs/>
                <w:color w:val="000000"/>
                <w:sz w:val="20"/>
                <w:szCs w:val="20"/>
              </w:rPr>
              <w:t>Fair value at acquisition</w:t>
            </w:r>
          </w:p>
        </w:tc>
      </w:tr>
      <w:tr w:rsidR="008C676E" w:rsidRPr="004D7811" w14:paraId="4EA3B4EC" w14:textId="77777777" w:rsidTr="00AB1DC6">
        <w:trPr>
          <w:trHeight w:val="283"/>
        </w:trPr>
        <w:tc>
          <w:tcPr>
            <w:tcW w:w="6690" w:type="dxa"/>
            <w:tcBorders>
              <w:bottom w:val="single" w:sz="4" w:space="0" w:color="auto"/>
            </w:tcBorders>
            <w:vAlign w:val="bottom"/>
          </w:tcPr>
          <w:p w14:paraId="463B7FFE"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tcBorders>
              <w:bottom w:val="single" w:sz="4" w:space="0" w:color="auto"/>
            </w:tcBorders>
            <w:vAlign w:val="bottom"/>
          </w:tcPr>
          <w:p w14:paraId="73AA0C49" w14:textId="77777777" w:rsidR="008C676E" w:rsidRPr="005774C0"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p>
        </w:tc>
        <w:tc>
          <w:tcPr>
            <w:tcW w:w="1531" w:type="dxa"/>
            <w:tcBorders>
              <w:bottom w:val="single" w:sz="4" w:space="0" w:color="auto"/>
            </w:tcBorders>
            <w:vAlign w:val="bottom"/>
          </w:tcPr>
          <w:p w14:paraId="5DA644A1" w14:textId="77777777" w:rsidR="008C676E"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£’m</w:t>
            </w:r>
          </w:p>
        </w:tc>
      </w:tr>
      <w:tr w:rsidR="008C676E" w:rsidRPr="004D7811" w14:paraId="4AE6559E" w14:textId="77777777" w:rsidTr="00AB1DC6">
        <w:trPr>
          <w:trHeight w:val="283"/>
        </w:trPr>
        <w:tc>
          <w:tcPr>
            <w:tcW w:w="6690" w:type="dxa"/>
            <w:tcBorders>
              <w:top w:val="single" w:sz="4" w:space="0" w:color="auto"/>
            </w:tcBorders>
          </w:tcPr>
          <w:p w14:paraId="796092CE"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EC6D99">
              <w:rPr>
                <w:rFonts w:ascii="Arial" w:hAnsi="Arial" w:cs="Arial"/>
                <w:color w:val="000000"/>
                <w:sz w:val="20"/>
                <w:szCs w:val="20"/>
              </w:rPr>
              <w:t>Intangible assets – customer relationships</w:t>
            </w:r>
          </w:p>
        </w:tc>
        <w:tc>
          <w:tcPr>
            <w:tcW w:w="1531" w:type="dxa"/>
            <w:tcBorders>
              <w:top w:val="single" w:sz="4" w:space="0" w:color="auto"/>
            </w:tcBorders>
            <w:vAlign w:val="bottom"/>
          </w:tcPr>
          <w:p w14:paraId="08ECD736"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Borders>
              <w:top w:val="single" w:sz="4" w:space="0" w:color="auto"/>
            </w:tcBorders>
            <w:vAlign w:val="bottom"/>
          </w:tcPr>
          <w:p w14:paraId="0108D52A"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4.3</w:t>
            </w:r>
          </w:p>
        </w:tc>
      </w:tr>
      <w:tr w:rsidR="008C676E" w:rsidRPr="004D7811" w14:paraId="55B0DD24" w14:textId="77777777" w:rsidTr="00AB1DC6">
        <w:trPr>
          <w:trHeight w:val="283"/>
        </w:trPr>
        <w:tc>
          <w:tcPr>
            <w:tcW w:w="6690" w:type="dxa"/>
          </w:tcPr>
          <w:p w14:paraId="016F726F"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EC6D99">
              <w:rPr>
                <w:rFonts w:ascii="Arial" w:hAnsi="Arial" w:cs="Arial"/>
                <w:color w:val="000000"/>
                <w:sz w:val="20"/>
                <w:szCs w:val="20"/>
              </w:rPr>
              <w:t xml:space="preserve">Intangible assets – </w:t>
            </w:r>
            <w:r>
              <w:rPr>
                <w:rFonts w:ascii="Arial" w:hAnsi="Arial" w:cs="Arial"/>
                <w:color w:val="000000"/>
                <w:sz w:val="20"/>
                <w:szCs w:val="20"/>
              </w:rPr>
              <w:t>t</w:t>
            </w:r>
            <w:r w:rsidRPr="00EC6D99">
              <w:rPr>
                <w:rFonts w:ascii="Arial" w:hAnsi="Arial" w:cs="Arial"/>
                <w:color w:val="000000"/>
                <w:sz w:val="20"/>
                <w:szCs w:val="20"/>
              </w:rPr>
              <w:t xml:space="preserve">rade </w:t>
            </w:r>
            <w:r>
              <w:rPr>
                <w:rFonts w:ascii="Arial" w:hAnsi="Arial" w:cs="Arial"/>
                <w:color w:val="000000"/>
                <w:sz w:val="20"/>
                <w:szCs w:val="20"/>
              </w:rPr>
              <w:t>n</w:t>
            </w:r>
            <w:r w:rsidRPr="00EC6D99">
              <w:rPr>
                <w:rFonts w:ascii="Arial" w:hAnsi="Arial" w:cs="Arial"/>
                <w:color w:val="000000"/>
                <w:sz w:val="20"/>
                <w:szCs w:val="20"/>
              </w:rPr>
              <w:t>ame</w:t>
            </w:r>
            <w:r>
              <w:rPr>
                <w:rFonts w:ascii="Arial" w:hAnsi="Arial" w:cs="Arial"/>
                <w:color w:val="000000"/>
                <w:sz w:val="20"/>
                <w:szCs w:val="20"/>
              </w:rPr>
              <w:t>s</w:t>
            </w:r>
          </w:p>
        </w:tc>
        <w:tc>
          <w:tcPr>
            <w:tcW w:w="1531" w:type="dxa"/>
            <w:vAlign w:val="bottom"/>
          </w:tcPr>
          <w:p w14:paraId="2B85B7B6"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vAlign w:val="bottom"/>
          </w:tcPr>
          <w:p w14:paraId="43E57B1D"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0.8</w:t>
            </w:r>
          </w:p>
        </w:tc>
      </w:tr>
      <w:tr w:rsidR="008C676E" w:rsidRPr="004D7811" w14:paraId="67936DB2" w14:textId="77777777" w:rsidTr="00AB1DC6">
        <w:trPr>
          <w:trHeight w:val="283"/>
        </w:trPr>
        <w:tc>
          <w:tcPr>
            <w:tcW w:w="6690" w:type="dxa"/>
          </w:tcPr>
          <w:p w14:paraId="7D2088E3"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EC6D99">
              <w:rPr>
                <w:rFonts w:ascii="Arial" w:hAnsi="Arial" w:cs="Arial"/>
                <w:color w:val="000000"/>
                <w:sz w:val="20"/>
                <w:szCs w:val="20"/>
              </w:rPr>
              <w:t>Trade and other receivables</w:t>
            </w:r>
          </w:p>
        </w:tc>
        <w:tc>
          <w:tcPr>
            <w:tcW w:w="1531" w:type="dxa"/>
            <w:vAlign w:val="bottom"/>
          </w:tcPr>
          <w:p w14:paraId="6430725C"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vAlign w:val="bottom"/>
          </w:tcPr>
          <w:p w14:paraId="31A0240A"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1.2</w:t>
            </w:r>
          </w:p>
        </w:tc>
      </w:tr>
      <w:tr w:rsidR="008C676E" w:rsidRPr="004D7811" w14:paraId="583EE397" w14:textId="77777777" w:rsidTr="00AB1DC6">
        <w:trPr>
          <w:trHeight w:val="283"/>
        </w:trPr>
        <w:tc>
          <w:tcPr>
            <w:tcW w:w="6690" w:type="dxa"/>
            <w:shd w:val="clear" w:color="auto" w:fill="auto"/>
          </w:tcPr>
          <w:p w14:paraId="1DE42C3E" w14:textId="77777777" w:rsidR="008C676E" w:rsidRPr="00183734" w:rsidRDefault="008C676E" w:rsidP="00AB1DC6">
            <w:pPr>
              <w:autoSpaceDE w:val="0"/>
              <w:autoSpaceDN w:val="0"/>
              <w:adjustRightInd w:val="0"/>
              <w:spacing w:after="0" w:line="0" w:lineRule="atLeast"/>
              <w:rPr>
                <w:rFonts w:ascii="Arial" w:hAnsi="Arial" w:cs="Arial"/>
                <w:color w:val="000000"/>
                <w:sz w:val="20"/>
                <w:szCs w:val="20"/>
              </w:rPr>
            </w:pPr>
            <w:r w:rsidRPr="00EC6D99">
              <w:rPr>
                <w:rFonts w:ascii="Arial" w:hAnsi="Arial" w:cs="Arial"/>
                <w:color w:val="000000"/>
                <w:sz w:val="20"/>
                <w:szCs w:val="20"/>
              </w:rPr>
              <w:t>Cash</w:t>
            </w:r>
          </w:p>
        </w:tc>
        <w:tc>
          <w:tcPr>
            <w:tcW w:w="1531" w:type="dxa"/>
            <w:vAlign w:val="bottom"/>
          </w:tcPr>
          <w:p w14:paraId="5582138C" w14:textId="77777777" w:rsidR="008C676E" w:rsidRPr="005774C0"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shd w:val="clear" w:color="auto" w:fill="auto"/>
            <w:vAlign w:val="bottom"/>
          </w:tcPr>
          <w:p w14:paraId="7A34D792"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3.8</w:t>
            </w:r>
          </w:p>
        </w:tc>
      </w:tr>
      <w:tr w:rsidR="008C676E" w:rsidRPr="004D7811" w14:paraId="7BE6C70F" w14:textId="77777777" w:rsidTr="00AB1DC6">
        <w:trPr>
          <w:trHeight w:val="355"/>
        </w:trPr>
        <w:tc>
          <w:tcPr>
            <w:tcW w:w="6690" w:type="dxa"/>
            <w:shd w:val="clear" w:color="auto" w:fill="auto"/>
          </w:tcPr>
          <w:p w14:paraId="7FADF2E4"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EC6D99">
              <w:rPr>
                <w:rFonts w:ascii="Arial" w:hAnsi="Arial" w:cs="Arial"/>
                <w:color w:val="000000"/>
                <w:sz w:val="20"/>
                <w:szCs w:val="20"/>
              </w:rPr>
              <w:t>Property, plant and equipment</w:t>
            </w:r>
          </w:p>
        </w:tc>
        <w:tc>
          <w:tcPr>
            <w:tcW w:w="1531" w:type="dxa"/>
            <w:vAlign w:val="bottom"/>
          </w:tcPr>
          <w:p w14:paraId="4F4C0944"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330C5A09"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0.1</w:t>
            </w:r>
          </w:p>
        </w:tc>
      </w:tr>
      <w:tr w:rsidR="008C676E" w:rsidRPr="004D7811" w14:paraId="0BD8AD7C" w14:textId="77777777" w:rsidTr="00AB1DC6">
        <w:trPr>
          <w:trHeight w:val="283"/>
        </w:trPr>
        <w:tc>
          <w:tcPr>
            <w:tcW w:w="6690" w:type="dxa"/>
            <w:shd w:val="clear" w:color="auto" w:fill="auto"/>
          </w:tcPr>
          <w:p w14:paraId="5F6F88B4"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EC6D99">
              <w:rPr>
                <w:rFonts w:ascii="Arial" w:hAnsi="Arial" w:cs="Arial"/>
                <w:color w:val="000000"/>
                <w:sz w:val="20"/>
                <w:szCs w:val="20"/>
              </w:rPr>
              <w:t xml:space="preserve">Tax </w:t>
            </w:r>
            <w:r>
              <w:rPr>
                <w:rFonts w:ascii="Arial" w:hAnsi="Arial" w:cs="Arial"/>
                <w:color w:val="000000"/>
                <w:sz w:val="20"/>
                <w:szCs w:val="20"/>
              </w:rPr>
              <w:t>a</w:t>
            </w:r>
            <w:r w:rsidRPr="00EC6D99">
              <w:rPr>
                <w:rFonts w:ascii="Arial" w:hAnsi="Arial" w:cs="Arial"/>
                <w:color w:val="000000"/>
                <w:sz w:val="20"/>
                <w:szCs w:val="20"/>
              </w:rPr>
              <w:t>ssets</w:t>
            </w:r>
          </w:p>
        </w:tc>
        <w:tc>
          <w:tcPr>
            <w:tcW w:w="1531" w:type="dxa"/>
            <w:vAlign w:val="bottom"/>
          </w:tcPr>
          <w:p w14:paraId="54DC3DC7"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203AD3B6"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0.3</w:t>
            </w:r>
          </w:p>
        </w:tc>
      </w:tr>
      <w:tr w:rsidR="008C676E" w:rsidRPr="004D7811" w14:paraId="07DD4643" w14:textId="77777777" w:rsidTr="00AB1DC6">
        <w:trPr>
          <w:trHeight w:val="283"/>
        </w:trPr>
        <w:tc>
          <w:tcPr>
            <w:tcW w:w="6690" w:type="dxa"/>
            <w:shd w:val="clear" w:color="auto" w:fill="auto"/>
          </w:tcPr>
          <w:p w14:paraId="128422A6"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EC6D99">
              <w:rPr>
                <w:rFonts w:ascii="Arial" w:hAnsi="Arial" w:cs="Arial"/>
                <w:color w:val="000000"/>
                <w:sz w:val="20"/>
                <w:szCs w:val="20"/>
              </w:rPr>
              <w:t>Trade and other payables</w:t>
            </w:r>
          </w:p>
        </w:tc>
        <w:tc>
          <w:tcPr>
            <w:tcW w:w="1531" w:type="dxa"/>
            <w:vAlign w:val="bottom"/>
          </w:tcPr>
          <w:p w14:paraId="72320169"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036D0173"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(2.1)</w:t>
            </w:r>
          </w:p>
        </w:tc>
      </w:tr>
      <w:tr w:rsidR="008C676E" w:rsidRPr="004D7811" w14:paraId="440A693F" w14:textId="77777777" w:rsidTr="00AB1DC6">
        <w:trPr>
          <w:trHeight w:val="283"/>
        </w:trPr>
        <w:tc>
          <w:tcPr>
            <w:tcW w:w="6690" w:type="dxa"/>
            <w:shd w:val="clear" w:color="auto" w:fill="auto"/>
          </w:tcPr>
          <w:p w14:paraId="4EDD35A1"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sidRPr="00EC6D99">
              <w:rPr>
                <w:rFonts w:ascii="Arial" w:hAnsi="Arial" w:cs="Arial"/>
                <w:color w:val="000000"/>
                <w:sz w:val="20"/>
                <w:szCs w:val="20"/>
              </w:rPr>
              <w:t>Deferred tax liabilities</w:t>
            </w:r>
          </w:p>
        </w:tc>
        <w:tc>
          <w:tcPr>
            <w:tcW w:w="1531" w:type="dxa"/>
            <w:vAlign w:val="bottom"/>
          </w:tcPr>
          <w:p w14:paraId="175F51A9"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3ECC70A6"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(1.3)</w:t>
            </w:r>
          </w:p>
        </w:tc>
      </w:tr>
      <w:tr w:rsidR="008C676E" w:rsidRPr="004D7811" w14:paraId="5D1FC17A" w14:textId="77777777" w:rsidTr="00AB1DC6">
        <w:trPr>
          <w:trHeight w:val="283"/>
        </w:trPr>
        <w:tc>
          <w:tcPr>
            <w:tcW w:w="6690" w:type="dxa"/>
            <w:tcBorders>
              <w:top w:val="single" w:sz="4" w:space="0" w:color="auto"/>
              <w:bottom w:val="single" w:sz="4" w:space="0" w:color="auto"/>
            </w:tcBorders>
            <w:shd w:val="clear" w:color="auto" w:fill="auto"/>
            <w:vAlign w:val="bottom"/>
          </w:tcPr>
          <w:p w14:paraId="5E7460AA" w14:textId="77777777" w:rsidR="008C676E" w:rsidRPr="009B1780" w:rsidRDefault="008C676E" w:rsidP="00AB1DC6">
            <w:pPr>
              <w:autoSpaceDE w:val="0"/>
              <w:autoSpaceDN w:val="0"/>
              <w:adjustRightInd w:val="0"/>
              <w:spacing w:after="0" w:line="0" w:lineRule="atLeast"/>
              <w:rPr>
                <w:rFonts w:ascii="Arial" w:hAnsi="Arial" w:cs="Arial"/>
                <w:b/>
                <w:bCs/>
                <w:color w:val="000000"/>
                <w:sz w:val="20"/>
                <w:szCs w:val="20"/>
              </w:rPr>
            </w:pPr>
            <w:r w:rsidRPr="009B1780">
              <w:rPr>
                <w:rFonts w:ascii="Arial" w:hAnsi="Arial" w:cs="Arial"/>
                <w:b/>
                <w:bCs/>
                <w:color w:val="000000"/>
                <w:sz w:val="20"/>
                <w:szCs w:val="20"/>
              </w:rPr>
              <w:t>Net assets acquired</w:t>
            </w:r>
          </w:p>
        </w:tc>
        <w:tc>
          <w:tcPr>
            <w:tcW w:w="1531" w:type="dxa"/>
            <w:tcBorders>
              <w:top w:val="single" w:sz="4" w:space="0" w:color="auto"/>
              <w:bottom w:val="single" w:sz="4" w:space="0" w:color="auto"/>
            </w:tcBorders>
            <w:vAlign w:val="bottom"/>
          </w:tcPr>
          <w:p w14:paraId="31AD3E3D" w14:textId="77777777" w:rsidR="008C676E" w:rsidRPr="009B178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5E3973E3" w14:textId="77777777" w:rsidR="008C676E" w:rsidRPr="009B1780"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7.1</w:t>
            </w:r>
          </w:p>
        </w:tc>
      </w:tr>
      <w:tr w:rsidR="008C676E" w:rsidRPr="004D7811" w14:paraId="3FA8F81F" w14:textId="77777777" w:rsidTr="00AB1DC6">
        <w:trPr>
          <w:trHeight w:val="283"/>
        </w:trPr>
        <w:tc>
          <w:tcPr>
            <w:tcW w:w="6690" w:type="dxa"/>
            <w:tcBorders>
              <w:top w:val="single" w:sz="4" w:space="0" w:color="auto"/>
              <w:bottom w:val="single" w:sz="4" w:space="0" w:color="auto"/>
            </w:tcBorders>
            <w:shd w:val="clear" w:color="auto" w:fill="auto"/>
            <w:vAlign w:val="bottom"/>
          </w:tcPr>
          <w:p w14:paraId="264E4262"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Goodwill</w:t>
            </w:r>
          </w:p>
        </w:tc>
        <w:tc>
          <w:tcPr>
            <w:tcW w:w="1531" w:type="dxa"/>
            <w:tcBorders>
              <w:top w:val="single" w:sz="4" w:space="0" w:color="auto"/>
              <w:bottom w:val="single" w:sz="4" w:space="0" w:color="auto"/>
            </w:tcBorders>
            <w:vAlign w:val="bottom"/>
          </w:tcPr>
          <w:p w14:paraId="23557402"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2050325E"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13.2</w:t>
            </w:r>
          </w:p>
        </w:tc>
      </w:tr>
      <w:tr w:rsidR="008C676E" w:rsidRPr="004D7811" w14:paraId="64FB0E76" w14:textId="77777777" w:rsidTr="00AB1DC6">
        <w:trPr>
          <w:trHeight w:val="283"/>
        </w:trPr>
        <w:tc>
          <w:tcPr>
            <w:tcW w:w="6690" w:type="dxa"/>
            <w:tcBorders>
              <w:top w:val="single" w:sz="4" w:space="0" w:color="auto"/>
              <w:bottom w:val="single" w:sz="4" w:space="0" w:color="auto"/>
            </w:tcBorders>
            <w:shd w:val="clear" w:color="auto" w:fill="auto"/>
            <w:vAlign w:val="bottom"/>
          </w:tcPr>
          <w:p w14:paraId="50438B09" w14:textId="77777777" w:rsidR="008C676E" w:rsidRPr="00187457" w:rsidRDefault="008C676E" w:rsidP="00AB1DC6">
            <w:pPr>
              <w:autoSpaceDE w:val="0"/>
              <w:autoSpaceDN w:val="0"/>
              <w:adjustRightInd w:val="0"/>
              <w:spacing w:after="0" w:line="0" w:lineRule="atLeast"/>
              <w:rPr>
                <w:rFonts w:ascii="Arial" w:hAnsi="Arial" w:cs="Arial"/>
                <w:b/>
                <w:bCs/>
                <w:color w:val="000000"/>
                <w:sz w:val="20"/>
                <w:szCs w:val="20"/>
              </w:rPr>
            </w:pPr>
            <w:r w:rsidRPr="00187457">
              <w:rPr>
                <w:rFonts w:ascii="Arial" w:hAnsi="Arial" w:cs="Arial"/>
                <w:b/>
                <w:bCs/>
                <w:color w:val="000000"/>
                <w:sz w:val="20"/>
                <w:szCs w:val="20"/>
              </w:rPr>
              <w:t>Consideration</w:t>
            </w:r>
          </w:p>
        </w:tc>
        <w:tc>
          <w:tcPr>
            <w:tcW w:w="1531" w:type="dxa"/>
            <w:tcBorders>
              <w:top w:val="single" w:sz="4" w:space="0" w:color="auto"/>
              <w:bottom w:val="single" w:sz="4" w:space="0" w:color="auto"/>
            </w:tcBorders>
            <w:vAlign w:val="bottom"/>
          </w:tcPr>
          <w:p w14:paraId="4A39C6F0" w14:textId="77777777" w:rsidR="008C676E" w:rsidRPr="00187457"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bottom w:val="single" w:sz="4" w:space="0" w:color="auto"/>
            </w:tcBorders>
            <w:shd w:val="clear" w:color="auto" w:fill="auto"/>
            <w:vAlign w:val="bottom"/>
          </w:tcPr>
          <w:p w14:paraId="2591C9E5" w14:textId="77777777" w:rsidR="008C676E" w:rsidRPr="00187457"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20.3</w:t>
            </w:r>
          </w:p>
        </w:tc>
      </w:tr>
      <w:tr w:rsidR="008C676E" w:rsidRPr="004D7811" w14:paraId="4D40D7EB" w14:textId="77777777" w:rsidTr="00AB1DC6">
        <w:trPr>
          <w:trHeight w:val="283"/>
        </w:trPr>
        <w:tc>
          <w:tcPr>
            <w:tcW w:w="6690" w:type="dxa"/>
            <w:tcBorders>
              <w:top w:val="single" w:sz="4" w:space="0" w:color="auto"/>
            </w:tcBorders>
            <w:shd w:val="clear" w:color="auto" w:fill="auto"/>
            <w:vAlign w:val="bottom"/>
          </w:tcPr>
          <w:p w14:paraId="0E66AE85"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Satisfied by:</w:t>
            </w:r>
          </w:p>
        </w:tc>
        <w:tc>
          <w:tcPr>
            <w:tcW w:w="1531" w:type="dxa"/>
            <w:tcBorders>
              <w:top w:val="single" w:sz="4" w:space="0" w:color="auto"/>
            </w:tcBorders>
            <w:vAlign w:val="bottom"/>
          </w:tcPr>
          <w:p w14:paraId="1441DC24"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top w:val="single" w:sz="4" w:space="0" w:color="auto"/>
            </w:tcBorders>
            <w:shd w:val="clear" w:color="auto" w:fill="auto"/>
            <w:vAlign w:val="bottom"/>
          </w:tcPr>
          <w:p w14:paraId="3DA710EB"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68C09407" w14:textId="77777777" w:rsidTr="00AB1DC6">
        <w:trPr>
          <w:trHeight w:val="283"/>
        </w:trPr>
        <w:tc>
          <w:tcPr>
            <w:tcW w:w="6690" w:type="dxa"/>
            <w:shd w:val="clear" w:color="auto" w:fill="auto"/>
            <w:vAlign w:val="bottom"/>
          </w:tcPr>
          <w:p w14:paraId="4BA83653"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Cash to vendors</w:t>
            </w:r>
          </w:p>
        </w:tc>
        <w:tc>
          <w:tcPr>
            <w:tcW w:w="1531" w:type="dxa"/>
            <w:vAlign w:val="bottom"/>
          </w:tcPr>
          <w:p w14:paraId="0F38F3D5"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16EEF884"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15.6</w:t>
            </w:r>
          </w:p>
        </w:tc>
      </w:tr>
      <w:tr w:rsidR="008C676E" w:rsidRPr="004D7811" w14:paraId="4AA4A874" w14:textId="77777777" w:rsidTr="00AB1DC6">
        <w:trPr>
          <w:trHeight w:val="283"/>
        </w:trPr>
        <w:tc>
          <w:tcPr>
            <w:tcW w:w="6690" w:type="dxa"/>
            <w:shd w:val="clear" w:color="auto" w:fill="auto"/>
            <w:vAlign w:val="bottom"/>
          </w:tcPr>
          <w:p w14:paraId="3EFBB399"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Share-based consideration</w:t>
            </w:r>
          </w:p>
        </w:tc>
        <w:tc>
          <w:tcPr>
            <w:tcW w:w="1531" w:type="dxa"/>
            <w:vAlign w:val="bottom"/>
          </w:tcPr>
          <w:p w14:paraId="5925D35D"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shd w:val="clear" w:color="auto" w:fill="auto"/>
            <w:vAlign w:val="bottom"/>
          </w:tcPr>
          <w:p w14:paraId="1B2A8E60" w14:textId="77777777" w:rsidR="008C676E"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3.0</w:t>
            </w:r>
          </w:p>
        </w:tc>
      </w:tr>
      <w:tr w:rsidR="008C676E" w:rsidRPr="004D7811" w14:paraId="21B17AFD" w14:textId="77777777" w:rsidTr="00AB1DC6">
        <w:trPr>
          <w:trHeight w:val="283"/>
        </w:trPr>
        <w:tc>
          <w:tcPr>
            <w:tcW w:w="6690" w:type="dxa"/>
            <w:tcBorders>
              <w:bottom w:val="double" w:sz="4" w:space="0" w:color="auto"/>
            </w:tcBorders>
            <w:shd w:val="clear" w:color="auto" w:fill="auto"/>
            <w:vAlign w:val="bottom"/>
          </w:tcPr>
          <w:p w14:paraId="29DF5118" w14:textId="77777777" w:rsidR="008C676E"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Contingent cash consideration to vendors</w:t>
            </w:r>
          </w:p>
        </w:tc>
        <w:tc>
          <w:tcPr>
            <w:tcW w:w="1531" w:type="dxa"/>
            <w:tcBorders>
              <w:bottom w:val="double" w:sz="4" w:space="0" w:color="auto"/>
            </w:tcBorders>
            <w:vAlign w:val="bottom"/>
          </w:tcPr>
          <w:p w14:paraId="7736CF38" w14:textId="77777777" w:rsidR="008C676E" w:rsidRPr="005774C0" w:rsidRDefault="008C676E" w:rsidP="00AB1DC6">
            <w:pPr>
              <w:autoSpaceDE w:val="0"/>
              <w:autoSpaceDN w:val="0"/>
              <w:adjustRightInd w:val="0"/>
              <w:spacing w:after="0" w:line="0" w:lineRule="atLeast"/>
              <w:jc w:val="right"/>
              <w:rPr>
                <w:rFonts w:ascii="Arial" w:eastAsia="Times New Roman" w:hAnsi="Arial" w:cs="Arial"/>
                <w:b/>
                <w:bCs/>
                <w:color w:val="000000"/>
                <w:sz w:val="20"/>
                <w:szCs w:val="20"/>
                <w:lang w:eastAsia="en-GB"/>
              </w:rPr>
            </w:pPr>
          </w:p>
        </w:tc>
        <w:tc>
          <w:tcPr>
            <w:tcW w:w="1531" w:type="dxa"/>
            <w:tcBorders>
              <w:bottom w:val="double" w:sz="4" w:space="0" w:color="auto"/>
            </w:tcBorders>
            <w:shd w:val="clear" w:color="auto" w:fill="auto"/>
            <w:vAlign w:val="bottom"/>
          </w:tcPr>
          <w:p w14:paraId="0CB89ED1" w14:textId="77777777" w:rsidR="008C676E" w:rsidRPr="00183734"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1.7</w:t>
            </w:r>
          </w:p>
        </w:tc>
      </w:tr>
    </w:tbl>
    <w:p w14:paraId="30C80531" w14:textId="77777777" w:rsidR="008C676E" w:rsidRDefault="008C676E" w:rsidP="008C676E">
      <w:pPr>
        <w:spacing w:after="0" w:line="240" w:lineRule="auto"/>
        <w:jc w:val="both"/>
        <w:rPr>
          <w:rFonts w:ascii="Arial" w:hAnsi="Arial" w:cs="Arial"/>
          <w:sz w:val="20"/>
          <w:szCs w:val="20"/>
        </w:rPr>
      </w:pPr>
    </w:p>
    <w:p w14:paraId="047BF502" w14:textId="77777777" w:rsidR="008C676E" w:rsidRDefault="008C676E" w:rsidP="008C676E">
      <w:pPr>
        <w:spacing w:after="0" w:line="240" w:lineRule="auto"/>
        <w:jc w:val="both"/>
        <w:rPr>
          <w:rFonts w:ascii="Arial" w:hAnsi="Arial" w:cs="Arial"/>
          <w:sz w:val="20"/>
          <w:szCs w:val="20"/>
        </w:rPr>
      </w:pPr>
      <w:r w:rsidRPr="00053BFC">
        <w:rPr>
          <w:rFonts w:ascii="Arial" w:hAnsi="Arial" w:cs="Arial"/>
          <w:sz w:val="20"/>
          <w:szCs w:val="20"/>
        </w:rPr>
        <w:t>If the acquisition had been completed on the first day of the financial year IMSM would have generated £13.9m revenue and £2.6m profit before tax.</w:t>
      </w:r>
    </w:p>
    <w:p w14:paraId="2272F6CA" w14:textId="77777777" w:rsidR="008C676E" w:rsidRDefault="008C676E" w:rsidP="008C676E">
      <w:pPr>
        <w:spacing w:after="0" w:line="240" w:lineRule="auto"/>
        <w:jc w:val="both"/>
        <w:rPr>
          <w:rFonts w:ascii="Arial" w:hAnsi="Arial" w:cs="Arial"/>
          <w:sz w:val="20"/>
          <w:szCs w:val="20"/>
        </w:rPr>
      </w:pPr>
    </w:p>
    <w:p w14:paraId="539463E6" w14:textId="5BBFFAD8" w:rsidR="008C676E" w:rsidRDefault="008C676E" w:rsidP="008C676E">
      <w:pPr>
        <w:spacing w:after="0" w:line="240" w:lineRule="auto"/>
        <w:jc w:val="both"/>
        <w:rPr>
          <w:rFonts w:ascii="Arial" w:hAnsi="Arial" w:cs="Arial"/>
          <w:sz w:val="20"/>
          <w:szCs w:val="20"/>
        </w:rPr>
      </w:pPr>
      <w:r w:rsidRPr="00053BFC">
        <w:rPr>
          <w:rFonts w:ascii="Arial" w:hAnsi="Arial" w:cs="Arial"/>
          <w:sz w:val="20"/>
          <w:szCs w:val="20"/>
        </w:rPr>
        <w:t>Post completion, the acquisition of IMSM contributed £10.6m revenue and £2.1m profit before tax.</w:t>
      </w:r>
    </w:p>
    <w:p w14:paraId="6F4E80E6" w14:textId="77777777" w:rsidR="00B90303" w:rsidRPr="00546766" w:rsidRDefault="00B90303" w:rsidP="00B90303">
      <w:pPr>
        <w:spacing w:after="0"/>
        <w:rPr>
          <w:rFonts w:ascii="Arial" w:hAnsi="Arial" w:cs="Arial"/>
          <w:sz w:val="20"/>
          <w:szCs w:val="20"/>
          <w:highlight w:val="yellow"/>
        </w:rPr>
      </w:pPr>
    </w:p>
    <w:p w14:paraId="1C001EC3" w14:textId="5D77EDF5" w:rsidR="00B90303" w:rsidRPr="00745337" w:rsidRDefault="00FE6936" w:rsidP="00B90303">
      <w:pPr>
        <w:spacing w:after="0"/>
        <w:rPr>
          <w:rFonts w:ascii="Arial" w:eastAsia="Times New Roman" w:hAnsi="Arial" w:cs="Arial"/>
          <w:b/>
          <w:bCs/>
          <w:color w:val="000000"/>
          <w:sz w:val="20"/>
          <w:szCs w:val="20"/>
          <w:lang w:eastAsia="en-GB"/>
        </w:rPr>
      </w:pPr>
      <w:r>
        <w:rPr>
          <w:rFonts w:ascii="Arial" w:hAnsi="Arial" w:cs="Arial"/>
          <w:b/>
          <w:bCs/>
          <w:sz w:val="20"/>
          <w:szCs w:val="20"/>
        </w:rPr>
        <w:t>8</w:t>
      </w:r>
      <w:r w:rsidR="00B90303" w:rsidRPr="00745337">
        <w:rPr>
          <w:rFonts w:ascii="Arial" w:eastAsia="Times New Roman" w:hAnsi="Arial" w:cs="Arial"/>
          <w:b/>
          <w:bCs/>
          <w:color w:val="000000"/>
          <w:sz w:val="20"/>
          <w:szCs w:val="20"/>
          <w:lang w:eastAsia="en-GB"/>
        </w:rPr>
        <w:t>. Trade and other receivables</w:t>
      </w:r>
    </w:p>
    <w:tbl>
      <w:tblPr>
        <w:tblW w:w="9752" w:type="dxa"/>
        <w:tblLook w:val="04A0" w:firstRow="1" w:lastRow="0" w:firstColumn="1" w:lastColumn="0" w:noHBand="0" w:noVBand="1"/>
      </w:tblPr>
      <w:tblGrid>
        <w:gridCol w:w="6690"/>
        <w:gridCol w:w="1531"/>
        <w:gridCol w:w="1531"/>
      </w:tblGrid>
      <w:tr w:rsidR="008C676E" w:rsidRPr="004D7811" w14:paraId="59AB90F6" w14:textId="77777777" w:rsidTr="00AB1DC6">
        <w:trPr>
          <w:trHeight w:val="283"/>
        </w:trPr>
        <w:tc>
          <w:tcPr>
            <w:tcW w:w="6690" w:type="dxa"/>
            <w:tcBorders>
              <w:top w:val="nil"/>
              <w:left w:val="nil"/>
              <w:bottom w:val="nil"/>
              <w:right w:val="nil"/>
            </w:tcBorders>
            <w:shd w:val="clear" w:color="auto" w:fill="auto"/>
            <w:noWrap/>
            <w:vAlign w:val="bottom"/>
            <w:hideMark/>
          </w:tcPr>
          <w:p w14:paraId="7AA4955E" w14:textId="77777777" w:rsidR="008C676E" w:rsidRPr="00CB31AE" w:rsidRDefault="008C676E" w:rsidP="00AB1DC6">
            <w:pPr>
              <w:spacing w:after="0" w:line="240" w:lineRule="auto"/>
              <w:jc w:val="right"/>
              <w:rPr>
                <w:rFonts w:ascii="Arial" w:eastAsia="Times New Roman" w:hAnsi="Arial" w:cs="Arial"/>
                <w:sz w:val="20"/>
                <w:szCs w:val="20"/>
                <w:lang w:eastAsia="en-GB"/>
              </w:rPr>
            </w:pPr>
          </w:p>
        </w:tc>
        <w:tc>
          <w:tcPr>
            <w:tcW w:w="1531" w:type="dxa"/>
            <w:tcBorders>
              <w:top w:val="nil"/>
              <w:left w:val="nil"/>
              <w:bottom w:val="nil"/>
              <w:right w:val="nil"/>
            </w:tcBorders>
            <w:vAlign w:val="bottom"/>
          </w:tcPr>
          <w:p w14:paraId="17032944" w14:textId="77777777" w:rsidR="008C676E" w:rsidRPr="001D77F0" w:rsidRDefault="008C676E" w:rsidP="00AB1DC6">
            <w:pPr>
              <w:spacing w:after="0" w:line="240" w:lineRule="auto"/>
              <w:jc w:val="right"/>
              <w:rPr>
                <w:rFonts w:ascii="Arial" w:eastAsia="Times New Roman" w:hAnsi="Arial" w:cs="Arial"/>
                <w:b/>
                <w:bCs/>
                <w:color w:val="000000"/>
                <w:sz w:val="20"/>
                <w:szCs w:val="20"/>
                <w:lang w:eastAsia="en-GB"/>
              </w:rPr>
            </w:pPr>
            <w:r w:rsidRPr="001D77F0">
              <w:rPr>
                <w:rFonts w:ascii="Arial" w:eastAsia="Times New Roman" w:hAnsi="Arial" w:cs="Arial"/>
                <w:b/>
                <w:bCs/>
                <w:color w:val="000000"/>
                <w:sz w:val="20"/>
                <w:szCs w:val="20"/>
                <w:lang w:eastAsia="en-GB"/>
              </w:rPr>
              <w:t>2024</w:t>
            </w:r>
          </w:p>
        </w:tc>
        <w:tc>
          <w:tcPr>
            <w:tcW w:w="1531" w:type="dxa"/>
            <w:tcBorders>
              <w:top w:val="nil"/>
              <w:left w:val="nil"/>
              <w:bottom w:val="nil"/>
              <w:right w:val="nil"/>
            </w:tcBorders>
            <w:vAlign w:val="bottom"/>
          </w:tcPr>
          <w:p w14:paraId="6F52E1C1" w14:textId="77777777" w:rsidR="008C676E" w:rsidRPr="001D77F0" w:rsidRDefault="008C676E" w:rsidP="00AB1DC6">
            <w:pPr>
              <w:spacing w:after="0" w:line="240" w:lineRule="auto"/>
              <w:jc w:val="right"/>
              <w:rPr>
                <w:rFonts w:ascii="Arial" w:eastAsia="Times New Roman" w:hAnsi="Arial" w:cs="Arial"/>
                <w:b/>
                <w:bCs/>
                <w:color w:val="000000"/>
                <w:sz w:val="20"/>
                <w:szCs w:val="20"/>
                <w:lang w:eastAsia="en-GB"/>
              </w:rPr>
            </w:pPr>
            <w:r w:rsidRPr="001D77F0">
              <w:rPr>
                <w:rFonts w:ascii="Arial" w:eastAsia="Times New Roman" w:hAnsi="Arial" w:cs="Arial"/>
                <w:b/>
                <w:bCs/>
                <w:color w:val="000000"/>
                <w:sz w:val="20"/>
                <w:szCs w:val="20"/>
                <w:lang w:eastAsia="en-GB"/>
              </w:rPr>
              <w:t>2023</w:t>
            </w:r>
          </w:p>
        </w:tc>
      </w:tr>
      <w:tr w:rsidR="008C676E" w:rsidRPr="004D7811" w14:paraId="6DA0564E" w14:textId="77777777" w:rsidTr="00AB1DC6">
        <w:trPr>
          <w:trHeight w:val="283"/>
        </w:trPr>
        <w:tc>
          <w:tcPr>
            <w:tcW w:w="6690" w:type="dxa"/>
            <w:tcBorders>
              <w:top w:val="nil"/>
              <w:left w:val="nil"/>
              <w:bottom w:val="nil"/>
              <w:right w:val="nil"/>
            </w:tcBorders>
            <w:shd w:val="clear" w:color="auto" w:fill="auto"/>
            <w:noWrap/>
            <w:vAlign w:val="bottom"/>
            <w:hideMark/>
          </w:tcPr>
          <w:p w14:paraId="25E52448" w14:textId="77777777" w:rsidR="008C676E" w:rsidRPr="00CB31AE" w:rsidRDefault="008C676E" w:rsidP="00AB1DC6">
            <w:pPr>
              <w:spacing w:after="0" w:line="240" w:lineRule="auto"/>
              <w:jc w:val="right"/>
              <w:rPr>
                <w:rFonts w:ascii="Arial" w:eastAsia="Times New Roman" w:hAnsi="Arial" w:cs="Arial"/>
                <w:color w:val="000000"/>
                <w:sz w:val="20"/>
                <w:szCs w:val="20"/>
                <w:lang w:eastAsia="en-GB"/>
              </w:rPr>
            </w:pPr>
          </w:p>
        </w:tc>
        <w:tc>
          <w:tcPr>
            <w:tcW w:w="1531" w:type="dxa"/>
            <w:tcBorders>
              <w:top w:val="nil"/>
              <w:left w:val="nil"/>
              <w:bottom w:val="nil"/>
              <w:right w:val="nil"/>
            </w:tcBorders>
            <w:vAlign w:val="bottom"/>
          </w:tcPr>
          <w:p w14:paraId="62AD9BBF" w14:textId="77777777" w:rsidR="008C676E" w:rsidRPr="001D77F0" w:rsidRDefault="008C676E" w:rsidP="00AB1DC6">
            <w:pPr>
              <w:spacing w:after="0" w:line="240" w:lineRule="auto"/>
              <w:jc w:val="right"/>
              <w:rPr>
                <w:rFonts w:ascii="Arial" w:eastAsia="Times New Roman" w:hAnsi="Arial" w:cs="Arial"/>
                <w:b/>
                <w:bCs/>
                <w:color w:val="000000"/>
                <w:sz w:val="20"/>
                <w:szCs w:val="20"/>
                <w:lang w:eastAsia="en-GB"/>
              </w:rPr>
            </w:pPr>
            <w:r w:rsidRPr="001D77F0">
              <w:rPr>
                <w:rFonts w:ascii="Arial" w:eastAsia="Times New Roman" w:hAnsi="Arial" w:cs="Arial"/>
                <w:b/>
                <w:bCs/>
                <w:color w:val="000000"/>
                <w:sz w:val="20"/>
                <w:szCs w:val="20"/>
                <w:lang w:eastAsia="en-GB"/>
              </w:rPr>
              <w:t>£'m</w:t>
            </w:r>
          </w:p>
        </w:tc>
        <w:tc>
          <w:tcPr>
            <w:tcW w:w="1531" w:type="dxa"/>
            <w:tcBorders>
              <w:top w:val="nil"/>
              <w:left w:val="nil"/>
              <w:bottom w:val="nil"/>
              <w:right w:val="nil"/>
            </w:tcBorders>
            <w:vAlign w:val="bottom"/>
          </w:tcPr>
          <w:p w14:paraId="393CD411" w14:textId="77777777" w:rsidR="008C676E" w:rsidRPr="001D77F0" w:rsidRDefault="008C676E" w:rsidP="00AB1DC6">
            <w:pPr>
              <w:spacing w:after="0" w:line="240" w:lineRule="auto"/>
              <w:jc w:val="right"/>
              <w:rPr>
                <w:rFonts w:ascii="Arial" w:eastAsia="Times New Roman" w:hAnsi="Arial" w:cs="Arial"/>
                <w:b/>
                <w:bCs/>
                <w:color w:val="000000"/>
                <w:sz w:val="20"/>
                <w:szCs w:val="20"/>
                <w:lang w:eastAsia="en-GB"/>
              </w:rPr>
            </w:pPr>
            <w:r w:rsidRPr="001D77F0">
              <w:rPr>
                <w:rFonts w:ascii="Arial" w:eastAsia="Times New Roman" w:hAnsi="Arial" w:cs="Arial"/>
                <w:b/>
                <w:bCs/>
                <w:color w:val="000000"/>
                <w:sz w:val="20"/>
                <w:szCs w:val="20"/>
                <w:lang w:eastAsia="en-GB"/>
              </w:rPr>
              <w:t>£'m</w:t>
            </w:r>
          </w:p>
        </w:tc>
      </w:tr>
      <w:tr w:rsidR="008C676E" w:rsidRPr="004D7811" w14:paraId="6C7B9FCE" w14:textId="77777777" w:rsidTr="00AB1DC6">
        <w:trPr>
          <w:trHeight w:val="283"/>
        </w:trPr>
        <w:tc>
          <w:tcPr>
            <w:tcW w:w="6690" w:type="dxa"/>
            <w:tcBorders>
              <w:top w:val="single" w:sz="4" w:space="0" w:color="auto"/>
              <w:left w:val="nil"/>
              <w:bottom w:val="nil"/>
              <w:right w:val="nil"/>
            </w:tcBorders>
            <w:shd w:val="clear" w:color="auto" w:fill="auto"/>
            <w:noWrap/>
            <w:vAlign w:val="bottom"/>
            <w:hideMark/>
          </w:tcPr>
          <w:p w14:paraId="3B1BEF23" w14:textId="77777777" w:rsidR="008C676E" w:rsidRPr="00CB31AE" w:rsidRDefault="008C676E" w:rsidP="00AB1DC6">
            <w:pPr>
              <w:spacing w:after="0" w:line="240" w:lineRule="auto"/>
              <w:rPr>
                <w:rFonts w:ascii="Arial" w:eastAsia="Times New Roman" w:hAnsi="Arial" w:cs="Arial"/>
                <w:b/>
                <w:bCs/>
                <w:color w:val="000000"/>
                <w:sz w:val="20"/>
                <w:szCs w:val="20"/>
                <w:lang w:eastAsia="en-GB"/>
              </w:rPr>
            </w:pPr>
            <w:r w:rsidRPr="00CB31AE">
              <w:rPr>
                <w:rFonts w:ascii="Arial" w:eastAsia="Times New Roman" w:hAnsi="Arial" w:cs="Arial"/>
                <w:b/>
                <w:bCs/>
                <w:color w:val="000000"/>
                <w:sz w:val="20"/>
                <w:szCs w:val="20"/>
                <w:lang w:eastAsia="en-GB"/>
              </w:rPr>
              <w:t>Current</w:t>
            </w:r>
          </w:p>
        </w:tc>
        <w:tc>
          <w:tcPr>
            <w:tcW w:w="1531" w:type="dxa"/>
            <w:tcBorders>
              <w:top w:val="single" w:sz="4" w:space="0" w:color="auto"/>
              <w:left w:val="nil"/>
              <w:bottom w:val="nil"/>
              <w:right w:val="nil"/>
            </w:tcBorders>
            <w:vAlign w:val="bottom"/>
          </w:tcPr>
          <w:p w14:paraId="39B1F4D8" w14:textId="77777777" w:rsidR="008C676E" w:rsidRPr="005C7B8C" w:rsidRDefault="008C676E" w:rsidP="00AB1DC6">
            <w:pPr>
              <w:spacing w:after="0" w:line="240" w:lineRule="auto"/>
              <w:jc w:val="right"/>
              <w:rPr>
                <w:rFonts w:ascii="Arial" w:eastAsia="Times New Roman" w:hAnsi="Arial" w:cs="Arial"/>
                <w:b/>
                <w:bCs/>
                <w:color w:val="000000"/>
                <w:sz w:val="20"/>
                <w:szCs w:val="20"/>
                <w:lang w:eastAsia="en-GB"/>
              </w:rPr>
            </w:pPr>
          </w:p>
        </w:tc>
        <w:tc>
          <w:tcPr>
            <w:tcW w:w="1531" w:type="dxa"/>
            <w:tcBorders>
              <w:top w:val="single" w:sz="4" w:space="0" w:color="auto"/>
              <w:left w:val="nil"/>
              <w:bottom w:val="nil"/>
              <w:right w:val="nil"/>
            </w:tcBorders>
            <w:vAlign w:val="bottom"/>
          </w:tcPr>
          <w:p w14:paraId="7B0AE838" w14:textId="77777777" w:rsidR="008C676E" w:rsidRPr="00CB31AE" w:rsidRDefault="008C676E" w:rsidP="00AB1DC6">
            <w:pPr>
              <w:spacing w:after="0" w:line="240" w:lineRule="auto"/>
              <w:jc w:val="right"/>
              <w:rPr>
                <w:rFonts w:ascii="Arial" w:eastAsia="Times New Roman" w:hAnsi="Arial" w:cs="Arial"/>
                <w:color w:val="000000"/>
                <w:sz w:val="20"/>
                <w:szCs w:val="20"/>
                <w:lang w:eastAsia="en-GB"/>
              </w:rPr>
            </w:pPr>
          </w:p>
        </w:tc>
      </w:tr>
      <w:tr w:rsidR="008C676E" w:rsidRPr="004D7811" w14:paraId="75FC365B" w14:textId="77777777" w:rsidTr="00AB1DC6">
        <w:trPr>
          <w:trHeight w:val="283"/>
        </w:trPr>
        <w:tc>
          <w:tcPr>
            <w:tcW w:w="6690" w:type="dxa"/>
            <w:tcBorders>
              <w:top w:val="nil"/>
              <w:left w:val="nil"/>
              <w:right w:val="nil"/>
            </w:tcBorders>
            <w:shd w:val="clear" w:color="auto" w:fill="auto"/>
            <w:noWrap/>
            <w:vAlign w:val="bottom"/>
            <w:hideMark/>
          </w:tcPr>
          <w:p w14:paraId="5DAE9E97"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Trade receivables</w:t>
            </w:r>
          </w:p>
        </w:tc>
        <w:tc>
          <w:tcPr>
            <w:tcW w:w="1531" w:type="dxa"/>
            <w:tcBorders>
              <w:top w:val="nil"/>
              <w:left w:val="nil"/>
              <w:right w:val="nil"/>
            </w:tcBorders>
            <w:vAlign w:val="bottom"/>
          </w:tcPr>
          <w:p w14:paraId="0F06F155"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 xml:space="preserve">69.2 </w:t>
            </w:r>
          </w:p>
        </w:tc>
        <w:tc>
          <w:tcPr>
            <w:tcW w:w="1531" w:type="dxa"/>
            <w:tcBorders>
              <w:top w:val="nil"/>
              <w:left w:val="nil"/>
              <w:right w:val="nil"/>
            </w:tcBorders>
            <w:vAlign w:val="bottom"/>
          </w:tcPr>
          <w:p w14:paraId="186501A1" w14:textId="77777777" w:rsidR="008C676E" w:rsidRPr="00CB31AE" w:rsidRDefault="008C676E" w:rsidP="00AB1DC6">
            <w:pPr>
              <w:spacing w:after="0" w:line="240" w:lineRule="auto"/>
              <w:jc w:val="right"/>
              <w:rPr>
                <w:rFonts w:ascii="Arial" w:hAnsi="Arial" w:cs="Arial"/>
                <w:sz w:val="20"/>
                <w:szCs w:val="20"/>
              </w:rPr>
            </w:pPr>
            <w:r>
              <w:rPr>
                <w:rFonts w:ascii="Arial" w:hAnsi="Arial" w:cs="Arial"/>
                <w:sz w:val="20"/>
                <w:szCs w:val="20"/>
              </w:rPr>
              <w:t>81.9</w:t>
            </w:r>
          </w:p>
        </w:tc>
      </w:tr>
      <w:tr w:rsidR="008C676E" w:rsidRPr="004D7811" w14:paraId="67150FB2" w14:textId="77777777" w:rsidTr="00AB1DC6">
        <w:trPr>
          <w:trHeight w:val="283"/>
        </w:trPr>
        <w:tc>
          <w:tcPr>
            <w:tcW w:w="6690" w:type="dxa"/>
            <w:tcBorders>
              <w:left w:val="nil"/>
              <w:bottom w:val="single" w:sz="4" w:space="0" w:color="auto"/>
              <w:right w:val="nil"/>
            </w:tcBorders>
            <w:shd w:val="clear" w:color="auto" w:fill="auto"/>
            <w:noWrap/>
            <w:vAlign w:val="bottom"/>
            <w:hideMark/>
          </w:tcPr>
          <w:p w14:paraId="67BE3C17"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Less: provision for impairment of trade receivables</w:t>
            </w:r>
          </w:p>
        </w:tc>
        <w:tc>
          <w:tcPr>
            <w:tcW w:w="1531" w:type="dxa"/>
            <w:tcBorders>
              <w:left w:val="nil"/>
              <w:bottom w:val="single" w:sz="4" w:space="0" w:color="auto"/>
              <w:right w:val="nil"/>
            </w:tcBorders>
            <w:vAlign w:val="bottom"/>
          </w:tcPr>
          <w:p w14:paraId="08142217"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(2.1)</w:t>
            </w:r>
          </w:p>
        </w:tc>
        <w:tc>
          <w:tcPr>
            <w:tcW w:w="1531" w:type="dxa"/>
            <w:tcBorders>
              <w:left w:val="nil"/>
              <w:bottom w:val="single" w:sz="4" w:space="0" w:color="auto"/>
              <w:right w:val="nil"/>
            </w:tcBorders>
            <w:vAlign w:val="bottom"/>
          </w:tcPr>
          <w:p w14:paraId="076C76C5" w14:textId="77777777" w:rsidR="008C676E" w:rsidRPr="00CB31AE" w:rsidRDefault="008C676E" w:rsidP="00AB1DC6">
            <w:pPr>
              <w:spacing w:after="0" w:line="240" w:lineRule="auto"/>
              <w:jc w:val="right"/>
              <w:rPr>
                <w:rFonts w:ascii="Arial" w:hAnsi="Arial" w:cs="Arial"/>
                <w:sz w:val="20"/>
                <w:szCs w:val="20"/>
              </w:rPr>
            </w:pPr>
            <w:r w:rsidRPr="00CB31A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w:t>
            </w:r>
            <w:r w:rsidRPr="00CB31AE">
              <w:rPr>
                <w:rFonts w:ascii="Arial" w:eastAsia="Times New Roman" w:hAnsi="Arial" w:cs="Arial"/>
                <w:color w:val="000000"/>
                <w:sz w:val="20"/>
                <w:szCs w:val="20"/>
                <w:lang w:eastAsia="en-GB"/>
              </w:rPr>
              <w:t>.9)</w:t>
            </w:r>
          </w:p>
        </w:tc>
      </w:tr>
      <w:tr w:rsidR="008C676E" w:rsidRPr="004D7811" w14:paraId="2A1F1985" w14:textId="77777777" w:rsidTr="00AB1DC6">
        <w:trPr>
          <w:trHeight w:val="283"/>
        </w:trPr>
        <w:tc>
          <w:tcPr>
            <w:tcW w:w="6690" w:type="dxa"/>
            <w:tcBorders>
              <w:top w:val="single" w:sz="4" w:space="0" w:color="auto"/>
              <w:left w:val="nil"/>
              <w:bottom w:val="single" w:sz="4" w:space="0" w:color="auto"/>
              <w:right w:val="nil"/>
            </w:tcBorders>
            <w:shd w:val="clear" w:color="auto" w:fill="auto"/>
            <w:noWrap/>
            <w:vAlign w:val="bottom"/>
            <w:hideMark/>
          </w:tcPr>
          <w:p w14:paraId="2E081F58"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Trade receivables – net</w:t>
            </w:r>
          </w:p>
        </w:tc>
        <w:tc>
          <w:tcPr>
            <w:tcW w:w="1531" w:type="dxa"/>
            <w:tcBorders>
              <w:top w:val="single" w:sz="4" w:space="0" w:color="auto"/>
              <w:left w:val="nil"/>
              <w:bottom w:val="single" w:sz="4" w:space="0" w:color="auto"/>
              <w:right w:val="nil"/>
            </w:tcBorders>
            <w:vAlign w:val="bottom"/>
          </w:tcPr>
          <w:p w14:paraId="08A73A3B"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 xml:space="preserve">67.1 </w:t>
            </w:r>
          </w:p>
        </w:tc>
        <w:tc>
          <w:tcPr>
            <w:tcW w:w="1531" w:type="dxa"/>
            <w:tcBorders>
              <w:top w:val="single" w:sz="4" w:space="0" w:color="auto"/>
              <w:left w:val="nil"/>
              <w:bottom w:val="single" w:sz="4" w:space="0" w:color="auto"/>
              <w:right w:val="nil"/>
            </w:tcBorders>
            <w:vAlign w:val="bottom"/>
          </w:tcPr>
          <w:p w14:paraId="127192F2" w14:textId="77777777" w:rsidR="008C676E" w:rsidRPr="00CB31AE" w:rsidRDefault="008C676E" w:rsidP="00AB1DC6">
            <w:pPr>
              <w:spacing w:after="0" w:line="240" w:lineRule="auto"/>
              <w:jc w:val="right"/>
              <w:rPr>
                <w:rFonts w:ascii="Arial" w:hAnsi="Arial" w:cs="Arial"/>
                <w:sz w:val="20"/>
                <w:szCs w:val="20"/>
              </w:rPr>
            </w:pPr>
            <w:r>
              <w:rPr>
                <w:rFonts w:ascii="Arial" w:eastAsia="Times New Roman" w:hAnsi="Arial" w:cs="Arial"/>
                <w:color w:val="000000"/>
                <w:sz w:val="20"/>
                <w:szCs w:val="20"/>
                <w:lang w:eastAsia="en-GB"/>
              </w:rPr>
              <w:t>80</w:t>
            </w:r>
            <w:r w:rsidRPr="00CB31A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w:t>
            </w:r>
          </w:p>
        </w:tc>
      </w:tr>
      <w:tr w:rsidR="008C676E" w:rsidRPr="004D7811" w14:paraId="1202924F" w14:textId="77777777" w:rsidTr="00AB1DC6">
        <w:trPr>
          <w:trHeight w:val="283"/>
        </w:trPr>
        <w:tc>
          <w:tcPr>
            <w:tcW w:w="6690" w:type="dxa"/>
            <w:tcBorders>
              <w:top w:val="single" w:sz="4" w:space="0" w:color="auto"/>
              <w:left w:val="nil"/>
              <w:bottom w:val="nil"/>
              <w:right w:val="nil"/>
            </w:tcBorders>
            <w:shd w:val="clear" w:color="auto" w:fill="auto"/>
            <w:noWrap/>
            <w:vAlign w:val="bottom"/>
            <w:hideMark/>
          </w:tcPr>
          <w:p w14:paraId="0622C15C"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Other receivables</w:t>
            </w:r>
          </w:p>
        </w:tc>
        <w:tc>
          <w:tcPr>
            <w:tcW w:w="1531" w:type="dxa"/>
            <w:tcBorders>
              <w:top w:val="single" w:sz="4" w:space="0" w:color="auto"/>
              <w:left w:val="nil"/>
              <w:bottom w:val="nil"/>
              <w:right w:val="nil"/>
            </w:tcBorders>
            <w:vAlign w:val="bottom"/>
          </w:tcPr>
          <w:p w14:paraId="7E60A92E"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 xml:space="preserve">1.0 </w:t>
            </w:r>
          </w:p>
        </w:tc>
        <w:tc>
          <w:tcPr>
            <w:tcW w:w="1531" w:type="dxa"/>
            <w:tcBorders>
              <w:top w:val="single" w:sz="4" w:space="0" w:color="auto"/>
              <w:left w:val="nil"/>
              <w:bottom w:val="nil"/>
              <w:right w:val="nil"/>
            </w:tcBorders>
            <w:vAlign w:val="bottom"/>
          </w:tcPr>
          <w:p w14:paraId="5D4743D8" w14:textId="77777777" w:rsidR="008C676E" w:rsidRPr="00CB31AE" w:rsidRDefault="008C676E" w:rsidP="00AB1DC6">
            <w:pPr>
              <w:spacing w:after="0" w:line="240" w:lineRule="auto"/>
              <w:jc w:val="right"/>
              <w:rPr>
                <w:rFonts w:ascii="Arial" w:hAnsi="Arial" w:cs="Arial"/>
                <w:sz w:val="20"/>
                <w:szCs w:val="20"/>
              </w:rPr>
            </w:pPr>
            <w:r w:rsidRPr="00CB31AE">
              <w:rPr>
                <w:rFonts w:ascii="Arial" w:eastAsia="Times New Roman" w:hAnsi="Arial" w:cs="Arial"/>
                <w:color w:val="000000"/>
                <w:sz w:val="20"/>
                <w:szCs w:val="20"/>
                <w:lang w:eastAsia="en-GB"/>
              </w:rPr>
              <w:t>2.8</w:t>
            </w:r>
          </w:p>
        </w:tc>
      </w:tr>
      <w:tr w:rsidR="008C676E" w:rsidRPr="004D7811" w14:paraId="5E95BDF4" w14:textId="77777777" w:rsidTr="00AB1DC6">
        <w:trPr>
          <w:trHeight w:val="283"/>
        </w:trPr>
        <w:tc>
          <w:tcPr>
            <w:tcW w:w="6690" w:type="dxa"/>
            <w:tcBorders>
              <w:top w:val="nil"/>
              <w:left w:val="nil"/>
              <w:bottom w:val="nil"/>
              <w:right w:val="nil"/>
            </w:tcBorders>
            <w:shd w:val="clear" w:color="auto" w:fill="auto"/>
            <w:noWrap/>
            <w:vAlign w:val="bottom"/>
            <w:hideMark/>
          </w:tcPr>
          <w:p w14:paraId="07B39634"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Contract assets</w:t>
            </w:r>
          </w:p>
        </w:tc>
        <w:tc>
          <w:tcPr>
            <w:tcW w:w="1531" w:type="dxa"/>
            <w:tcBorders>
              <w:top w:val="nil"/>
              <w:left w:val="nil"/>
              <w:bottom w:val="nil"/>
              <w:right w:val="nil"/>
            </w:tcBorders>
            <w:vAlign w:val="bottom"/>
          </w:tcPr>
          <w:p w14:paraId="0F95F088"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 xml:space="preserve">3.1 </w:t>
            </w:r>
          </w:p>
        </w:tc>
        <w:tc>
          <w:tcPr>
            <w:tcW w:w="1531" w:type="dxa"/>
            <w:tcBorders>
              <w:top w:val="nil"/>
              <w:left w:val="nil"/>
              <w:bottom w:val="nil"/>
              <w:right w:val="nil"/>
            </w:tcBorders>
            <w:vAlign w:val="bottom"/>
          </w:tcPr>
          <w:p w14:paraId="06394842" w14:textId="77777777" w:rsidR="008C676E" w:rsidRPr="00CB31AE" w:rsidRDefault="008C676E" w:rsidP="00AB1DC6">
            <w:pPr>
              <w:spacing w:after="0" w:line="240" w:lineRule="auto"/>
              <w:jc w:val="right"/>
              <w:rPr>
                <w:rFonts w:ascii="Arial" w:hAnsi="Arial" w:cs="Arial"/>
                <w:sz w:val="20"/>
                <w:szCs w:val="20"/>
              </w:rPr>
            </w:pPr>
            <w:r w:rsidRPr="00CB31AE">
              <w:rPr>
                <w:rFonts w:ascii="Arial" w:eastAsia="Times New Roman" w:hAnsi="Arial" w:cs="Arial"/>
                <w:color w:val="000000"/>
                <w:sz w:val="20"/>
                <w:szCs w:val="20"/>
                <w:lang w:eastAsia="en-GB"/>
              </w:rPr>
              <w:t>2.1</w:t>
            </w:r>
          </w:p>
        </w:tc>
      </w:tr>
      <w:tr w:rsidR="008C676E" w:rsidRPr="004D7811" w14:paraId="1C8C7506" w14:textId="77777777" w:rsidTr="00AB1DC6">
        <w:trPr>
          <w:trHeight w:val="283"/>
        </w:trPr>
        <w:tc>
          <w:tcPr>
            <w:tcW w:w="6690" w:type="dxa"/>
            <w:tcBorders>
              <w:top w:val="nil"/>
              <w:left w:val="nil"/>
              <w:bottom w:val="nil"/>
              <w:right w:val="nil"/>
            </w:tcBorders>
            <w:shd w:val="clear" w:color="auto" w:fill="auto"/>
            <w:noWrap/>
            <w:vAlign w:val="bottom"/>
          </w:tcPr>
          <w:p w14:paraId="31A51966"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Accrued income</w:t>
            </w:r>
          </w:p>
        </w:tc>
        <w:tc>
          <w:tcPr>
            <w:tcW w:w="1531" w:type="dxa"/>
            <w:tcBorders>
              <w:top w:val="nil"/>
              <w:left w:val="nil"/>
              <w:bottom w:val="nil"/>
              <w:right w:val="nil"/>
            </w:tcBorders>
            <w:vAlign w:val="bottom"/>
          </w:tcPr>
          <w:p w14:paraId="25CC3D24"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 xml:space="preserve">20.9 </w:t>
            </w:r>
          </w:p>
        </w:tc>
        <w:tc>
          <w:tcPr>
            <w:tcW w:w="1531" w:type="dxa"/>
            <w:tcBorders>
              <w:top w:val="nil"/>
              <w:left w:val="nil"/>
              <w:bottom w:val="nil"/>
              <w:right w:val="nil"/>
            </w:tcBorders>
            <w:vAlign w:val="bottom"/>
          </w:tcPr>
          <w:p w14:paraId="275254D0" w14:textId="77777777" w:rsidR="008C676E" w:rsidRPr="00CB31AE" w:rsidRDefault="008C676E" w:rsidP="00AB1DC6">
            <w:pPr>
              <w:spacing w:after="0" w:line="240" w:lineRule="auto"/>
              <w:jc w:val="right"/>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22.8</w:t>
            </w:r>
          </w:p>
        </w:tc>
      </w:tr>
      <w:tr w:rsidR="008C676E" w:rsidRPr="004D7811" w14:paraId="77D4186B" w14:textId="77777777" w:rsidTr="00AB1DC6">
        <w:trPr>
          <w:trHeight w:val="283"/>
        </w:trPr>
        <w:tc>
          <w:tcPr>
            <w:tcW w:w="6690" w:type="dxa"/>
            <w:tcBorders>
              <w:top w:val="nil"/>
              <w:left w:val="nil"/>
              <w:bottom w:val="nil"/>
              <w:right w:val="nil"/>
            </w:tcBorders>
            <w:shd w:val="clear" w:color="auto" w:fill="auto"/>
            <w:noWrap/>
            <w:vAlign w:val="bottom"/>
          </w:tcPr>
          <w:p w14:paraId="53722944"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 xml:space="preserve">Prepayments </w:t>
            </w:r>
          </w:p>
        </w:tc>
        <w:tc>
          <w:tcPr>
            <w:tcW w:w="1531" w:type="dxa"/>
            <w:tcBorders>
              <w:top w:val="nil"/>
              <w:left w:val="nil"/>
              <w:bottom w:val="nil"/>
              <w:right w:val="nil"/>
            </w:tcBorders>
            <w:vAlign w:val="bottom"/>
          </w:tcPr>
          <w:p w14:paraId="5DA5F77C"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 xml:space="preserve">5.9 </w:t>
            </w:r>
          </w:p>
        </w:tc>
        <w:tc>
          <w:tcPr>
            <w:tcW w:w="1531" w:type="dxa"/>
            <w:tcBorders>
              <w:top w:val="nil"/>
              <w:left w:val="nil"/>
              <w:bottom w:val="nil"/>
              <w:right w:val="nil"/>
            </w:tcBorders>
            <w:vAlign w:val="bottom"/>
          </w:tcPr>
          <w:p w14:paraId="43142B76" w14:textId="77777777" w:rsidR="008C676E" w:rsidRPr="00CB31AE" w:rsidRDefault="008C676E" w:rsidP="00AB1DC6">
            <w:pPr>
              <w:spacing w:after="0" w:line="240" w:lineRule="auto"/>
              <w:jc w:val="right"/>
              <w:rPr>
                <w:rFonts w:ascii="Arial" w:hAnsi="Arial" w:cs="Arial"/>
                <w:sz w:val="20"/>
                <w:szCs w:val="20"/>
              </w:rPr>
            </w:pPr>
            <w:r w:rsidRPr="00CB31AE">
              <w:rPr>
                <w:rFonts w:ascii="Arial" w:eastAsia="Times New Roman" w:hAnsi="Arial" w:cs="Arial"/>
                <w:color w:val="000000"/>
                <w:sz w:val="20"/>
                <w:szCs w:val="20"/>
                <w:lang w:eastAsia="en-GB"/>
              </w:rPr>
              <w:t>8.1</w:t>
            </w:r>
          </w:p>
        </w:tc>
      </w:tr>
      <w:tr w:rsidR="008C676E" w:rsidRPr="004D7811" w14:paraId="2E03C0FA" w14:textId="77777777" w:rsidTr="00AB1DC6">
        <w:trPr>
          <w:trHeight w:val="283"/>
        </w:trPr>
        <w:tc>
          <w:tcPr>
            <w:tcW w:w="6690" w:type="dxa"/>
            <w:tcBorders>
              <w:top w:val="nil"/>
              <w:left w:val="nil"/>
              <w:bottom w:val="nil"/>
              <w:right w:val="nil"/>
            </w:tcBorders>
            <w:shd w:val="clear" w:color="auto" w:fill="auto"/>
            <w:noWrap/>
            <w:vAlign w:val="bottom"/>
          </w:tcPr>
          <w:p w14:paraId="1EB9B6D0"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Contingent</w:t>
            </w:r>
            <w:r w:rsidRPr="00CB31AE">
              <w:rPr>
                <w:rFonts w:ascii="Arial" w:eastAsia="Times New Roman" w:hAnsi="Arial" w:cs="Arial"/>
                <w:color w:val="000000"/>
                <w:sz w:val="20"/>
                <w:szCs w:val="20"/>
                <w:lang w:eastAsia="en-GB"/>
              </w:rPr>
              <w:t xml:space="preserve"> consideration receivable in less than one year</w:t>
            </w:r>
          </w:p>
        </w:tc>
        <w:tc>
          <w:tcPr>
            <w:tcW w:w="1531" w:type="dxa"/>
            <w:tcBorders>
              <w:top w:val="nil"/>
              <w:left w:val="nil"/>
              <w:bottom w:val="nil"/>
              <w:right w:val="nil"/>
            </w:tcBorders>
            <w:vAlign w:val="bottom"/>
          </w:tcPr>
          <w:p w14:paraId="55A6F971"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 xml:space="preserve">- </w:t>
            </w:r>
          </w:p>
        </w:tc>
        <w:tc>
          <w:tcPr>
            <w:tcW w:w="1531" w:type="dxa"/>
            <w:tcBorders>
              <w:top w:val="nil"/>
              <w:left w:val="nil"/>
              <w:bottom w:val="nil"/>
              <w:right w:val="nil"/>
            </w:tcBorders>
            <w:vAlign w:val="bottom"/>
          </w:tcPr>
          <w:p w14:paraId="01BC4084" w14:textId="77777777" w:rsidR="008C676E" w:rsidRPr="00CB31AE" w:rsidRDefault="008C676E" w:rsidP="00AB1DC6">
            <w:pPr>
              <w:spacing w:after="0" w:line="240" w:lineRule="auto"/>
              <w:jc w:val="right"/>
              <w:rPr>
                <w:rFonts w:ascii="Arial" w:hAnsi="Arial" w:cs="Arial"/>
                <w:sz w:val="20"/>
                <w:szCs w:val="20"/>
              </w:rPr>
            </w:pPr>
            <w:r w:rsidRPr="00CB31AE">
              <w:rPr>
                <w:rFonts w:ascii="Arial" w:eastAsia="Times New Roman" w:hAnsi="Arial" w:cs="Arial"/>
                <w:color w:val="000000"/>
                <w:sz w:val="20"/>
                <w:szCs w:val="20"/>
                <w:lang w:eastAsia="en-GB"/>
              </w:rPr>
              <w:t>0.6</w:t>
            </w:r>
          </w:p>
        </w:tc>
      </w:tr>
      <w:tr w:rsidR="008C676E" w:rsidRPr="004D7811" w14:paraId="4F78D33E" w14:textId="77777777" w:rsidTr="00AB1DC6">
        <w:trPr>
          <w:trHeight w:val="283"/>
        </w:trPr>
        <w:tc>
          <w:tcPr>
            <w:tcW w:w="6690" w:type="dxa"/>
            <w:tcBorders>
              <w:top w:val="single" w:sz="4" w:space="0" w:color="auto"/>
              <w:left w:val="nil"/>
              <w:bottom w:val="single" w:sz="4" w:space="0" w:color="auto"/>
              <w:right w:val="nil"/>
            </w:tcBorders>
            <w:shd w:val="clear" w:color="auto" w:fill="auto"/>
            <w:noWrap/>
            <w:vAlign w:val="bottom"/>
            <w:hideMark/>
          </w:tcPr>
          <w:p w14:paraId="610EF310"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sidRPr="00CB31AE">
              <w:rPr>
                <w:rFonts w:ascii="Arial" w:eastAsia="Times New Roman" w:hAnsi="Arial" w:cs="Arial"/>
                <w:color w:val="000000"/>
                <w:sz w:val="20"/>
                <w:szCs w:val="20"/>
                <w:lang w:eastAsia="en-GB"/>
              </w:rPr>
              <w:t> </w:t>
            </w:r>
          </w:p>
        </w:tc>
        <w:tc>
          <w:tcPr>
            <w:tcW w:w="1531" w:type="dxa"/>
            <w:tcBorders>
              <w:top w:val="single" w:sz="4" w:space="0" w:color="auto"/>
              <w:left w:val="nil"/>
              <w:bottom w:val="single" w:sz="4" w:space="0" w:color="auto"/>
              <w:right w:val="nil"/>
            </w:tcBorders>
            <w:vAlign w:val="bottom"/>
          </w:tcPr>
          <w:p w14:paraId="158F9F28" w14:textId="77777777" w:rsidR="008C676E" w:rsidRPr="005C7B8C" w:rsidRDefault="008C676E" w:rsidP="00AB1DC6">
            <w:pPr>
              <w:spacing w:after="0" w:line="240" w:lineRule="auto"/>
              <w:jc w:val="right"/>
              <w:rPr>
                <w:rFonts w:ascii="Arial" w:hAnsi="Arial" w:cs="Arial"/>
                <w:b/>
                <w:bCs/>
                <w:sz w:val="20"/>
                <w:szCs w:val="20"/>
              </w:rPr>
            </w:pPr>
            <w:r w:rsidRPr="005C7B8C">
              <w:rPr>
                <w:rFonts w:ascii="Arial" w:hAnsi="Arial" w:cs="Arial"/>
                <w:b/>
                <w:bCs/>
                <w:sz w:val="20"/>
                <w:szCs w:val="20"/>
              </w:rPr>
              <w:t xml:space="preserve">98.0 </w:t>
            </w:r>
          </w:p>
        </w:tc>
        <w:tc>
          <w:tcPr>
            <w:tcW w:w="1531" w:type="dxa"/>
            <w:tcBorders>
              <w:top w:val="single" w:sz="4" w:space="0" w:color="auto"/>
              <w:left w:val="nil"/>
              <w:bottom w:val="single" w:sz="4" w:space="0" w:color="auto"/>
              <w:right w:val="nil"/>
            </w:tcBorders>
            <w:vAlign w:val="bottom"/>
          </w:tcPr>
          <w:p w14:paraId="41D97C0D" w14:textId="77777777" w:rsidR="008C676E" w:rsidRPr="00CB31AE" w:rsidRDefault="008C676E" w:rsidP="00AB1DC6">
            <w:pPr>
              <w:spacing w:after="0" w:line="240" w:lineRule="auto"/>
              <w:jc w:val="right"/>
              <w:rPr>
                <w:rFonts w:ascii="Arial" w:hAnsi="Arial" w:cs="Arial"/>
                <w:sz w:val="20"/>
                <w:szCs w:val="20"/>
              </w:rPr>
            </w:pPr>
            <w:r w:rsidRPr="00CB31AE">
              <w:rPr>
                <w:rFonts w:ascii="Arial" w:eastAsia="Times New Roman" w:hAnsi="Arial" w:cs="Arial"/>
                <w:color w:val="000000"/>
                <w:sz w:val="20"/>
                <w:szCs w:val="20"/>
                <w:lang w:eastAsia="en-GB"/>
              </w:rPr>
              <w:t>116.4</w:t>
            </w:r>
          </w:p>
        </w:tc>
      </w:tr>
      <w:tr w:rsidR="008C676E" w:rsidRPr="004D7811" w14:paraId="24835110" w14:textId="77777777" w:rsidTr="00AB1DC6">
        <w:trPr>
          <w:trHeight w:val="283"/>
        </w:trPr>
        <w:tc>
          <w:tcPr>
            <w:tcW w:w="6690" w:type="dxa"/>
            <w:tcBorders>
              <w:top w:val="single" w:sz="4" w:space="0" w:color="auto"/>
              <w:left w:val="nil"/>
              <w:right w:val="nil"/>
            </w:tcBorders>
            <w:shd w:val="clear" w:color="auto" w:fill="auto"/>
            <w:noWrap/>
            <w:vAlign w:val="bottom"/>
          </w:tcPr>
          <w:p w14:paraId="694CC72A" w14:textId="77777777" w:rsidR="008C676E" w:rsidRPr="00CB31AE" w:rsidRDefault="008C676E" w:rsidP="00AB1DC6">
            <w:pPr>
              <w:spacing w:after="0" w:line="240" w:lineRule="auto"/>
              <w:rPr>
                <w:rFonts w:ascii="Arial" w:eastAsia="Times New Roman" w:hAnsi="Arial" w:cs="Arial"/>
                <w:b/>
                <w:bCs/>
                <w:color w:val="000000"/>
                <w:sz w:val="20"/>
                <w:szCs w:val="20"/>
                <w:lang w:eastAsia="en-GB"/>
              </w:rPr>
            </w:pPr>
            <w:r w:rsidRPr="00CB31AE">
              <w:rPr>
                <w:rFonts w:ascii="Arial" w:eastAsia="Times New Roman" w:hAnsi="Arial" w:cs="Arial"/>
                <w:b/>
                <w:bCs/>
                <w:color w:val="000000"/>
                <w:sz w:val="20"/>
                <w:szCs w:val="20"/>
                <w:lang w:eastAsia="en-GB"/>
              </w:rPr>
              <w:t>Non-current</w:t>
            </w:r>
          </w:p>
        </w:tc>
        <w:tc>
          <w:tcPr>
            <w:tcW w:w="1531" w:type="dxa"/>
            <w:tcBorders>
              <w:top w:val="single" w:sz="4" w:space="0" w:color="auto"/>
              <w:left w:val="nil"/>
              <w:right w:val="nil"/>
            </w:tcBorders>
            <w:vAlign w:val="bottom"/>
          </w:tcPr>
          <w:p w14:paraId="418187B3" w14:textId="77777777" w:rsidR="008C676E" w:rsidRPr="005C7B8C" w:rsidRDefault="008C676E" w:rsidP="00AB1DC6">
            <w:pPr>
              <w:spacing w:after="0" w:line="240" w:lineRule="auto"/>
              <w:jc w:val="right"/>
              <w:rPr>
                <w:rFonts w:ascii="Arial" w:eastAsia="Times New Roman" w:hAnsi="Arial" w:cs="Arial"/>
                <w:b/>
                <w:bCs/>
                <w:color w:val="000000"/>
                <w:sz w:val="20"/>
                <w:szCs w:val="20"/>
                <w:lang w:eastAsia="en-GB"/>
              </w:rPr>
            </w:pPr>
          </w:p>
        </w:tc>
        <w:tc>
          <w:tcPr>
            <w:tcW w:w="1531" w:type="dxa"/>
            <w:tcBorders>
              <w:top w:val="single" w:sz="4" w:space="0" w:color="auto"/>
              <w:left w:val="nil"/>
              <w:right w:val="nil"/>
            </w:tcBorders>
            <w:vAlign w:val="bottom"/>
          </w:tcPr>
          <w:p w14:paraId="213FB805" w14:textId="77777777" w:rsidR="008C676E" w:rsidRPr="00CB31AE" w:rsidRDefault="008C676E" w:rsidP="00AB1DC6">
            <w:pPr>
              <w:spacing w:after="0" w:line="240" w:lineRule="auto"/>
              <w:jc w:val="right"/>
              <w:rPr>
                <w:rFonts w:ascii="Arial" w:eastAsia="Times New Roman" w:hAnsi="Arial" w:cs="Arial"/>
                <w:color w:val="000000"/>
                <w:sz w:val="20"/>
                <w:szCs w:val="20"/>
                <w:lang w:eastAsia="en-GB"/>
              </w:rPr>
            </w:pPr>
          </w:p>
        </w:tc>
      </w:tr>
      <w:tr w:rsidR="008C676E" w:rsidRPr="004D7811" w14:paraId="5810BB57" w14:textId="77777777" w:rsidTr="00AB1DC6">
        <w:trPr>
          <w:trHeight w:val="283"/>
        </w:trPr>
        <w:tc>
          <w:tcPr>
            <w:tcW w:w="6690" w:type="dxa"/>
            <w:tcBorders>
              <w:left w:val="nil"/>
              <w:bottom w:val="single" w:sz="4" w:space="0" w:color="auto"/>
              <w:right w:val="nil"/>
            </w:tcBorders>
            <w:shd w:val="clear" w:color="auto" w:fill="auto"/>
            <w:noWrap/>
            <w:vAlign w:val="bottom"/>
          </w:tcPr>
          <w:p w14:paraId="5CC9A3F5" w14:textId="77777777" w:rsidR="008C676E" w:rsidRPr="00CB31AE" w:rsidRDefault="008C676E" w:rsidP="00AB1D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Contingent</w:t>
            </w:r>
            <w:r w:rsidRPr="00CB31AE">
              <w:rPr>
                <w:rFonts w:ascii="Arial" w:eastAsia="Times New Roman" w:hAnsi="Arial" w:cs="Arial"/>
                <w:color w:val="000000"/>
                <w:sz w:val="20"/>
                <w:szCs w:val="20"/>
                <w:lang w:eastAsia="en-GB"/>
              </w:rPr>
              <w:t xml:space="preserve"> consideration receivable in more than one year</w:t>
            </w:r>
          </w:p>
        </w:tc>
        <w:tc>
          <w:tcPr>
            <w:tcW w:w="1531" w:type="dxa"/>
            <w:tcBorders>
              <w:left w:val="nil"/>
              <w:bottom w:val="single" w:sz="4" w:space="0" w:color="auto"/>
              <w:right w:val="nil"/>
            </w:tcBorders>
            <w:vAlign w:val="bottom"/>
          </w:tcPr>
          <w:p w14:paraId="3EA3E358" w14:textId="77777777" w:rsidR="008C676E" w:rsidRPr="005C7B8C" w:rsidRDefault="008C676E" w:rsidP="00AB1DC6">
            <w:pPr>
              <w:spacing w:after="0" w:line="240" w:lineRule="auto"/>
              <w:jc w:val="right"/>
              <w:rPr>
                <w:rFonts w:ascii="Arial" w:eastAsia="Times New Roman" w:hAnsi="Arial" w:cs="Arial"/>
                <w:b/>
                <w:bCs/>
                <w:color w:val="000000"/>
                <w:sz w:val="20"/>
                <w:szCs w:val="20"/>
                <w:lang w:eastAsia="en-GB"/>
              </w:rPr>
            </w:pPr>
            <w:r w:rsidRPr="005C7B8C">
              <w:rPr>
                <w:rFonts w:ascii="Arial" w:eastAsia="Times New Roman" w:hAnsi="Arial" w:cs="Arial"/>
                <w:b/>
                <w:bCs/>
                <w:color w:val="000000"/>
                <w:sz w:val="20"/>
                <w:szCs w:val="20"/>
                <w:lang w:eastAsia="en-GB"/>
              </w:rPr>
              <w:t>-</w:t>
            </w:r>
          </w:p>
        </w:tc>
        <w:tc>
          <w:tcPr>
            <w:tcW w:w="1531" w:type="dxa"/>
            <w:tcBorders>
              <w:left w:val="nil"/>
              <w:bottom w:val="single" w:sz="4" w:space="0" w:color="auto"/>
              <w:right w:val="nil"/>
            </w:tcBorders>
            <w:vAlign w:val="bottom"/>
          </w:tcPr>
          <w:p w14:paraId="30556BAE" w14:textId="77777777" w:rsidR="008C676E" w:rsidRPr="00CB31AE" w:rsidRDefault="008C676E" w:rsidP="00AB1DC6">
            <w:pPr>
              <w:spacing w:after="0" w:line="240" w:lineRule="auto"/>
              <w:jc w:val="right"/>
              <w:rPr>
                <w:rFonts w:ascii="Arial" w:hAnsi="Arial" w:cs="Arial"/>
                <w:sz w:val="20"/>
                <w:szCs w:val="20"/>
              </w:rPr>
            </w:pPr>
            <w:r w:rsidRPr="00CB31AE">
              <w:rPr>
                <w:rFonts w:ascii="Arial" w:eastAsia="Times New Roman" w:hAnsi="Arial" w:cs="Arial"/>
                <w:color w:val="000000"/>
                <w:sz w:val="20"/>
                <w:szCs w:val="20"/>
                <w:lang w:eastAsia="en-GB"/>
              </w:rPr>
              <w:t>4.8</w:t>
            </w:r>
          </w:p>
        </w:tc>
      </w:tr>
      <w:tr w:rsidR="008C676E" w:rsidRPr="004D7811" w14:paraId="42288506" w14:textId="77777777" w:rsidTr="00AB1DC6">
        <w:trPr>
          <w:trHeight w:val="283"/>
        </w:trPr>
        <w:tc>
          <w:tcPr>
            <w:tcW w:w="6690" w:type="dxa"/>
            <w:tcBorders>
              <w:top w:val="single" w:sz="4" w:space="0" w:color="auto"/>
              <w:left w:val="nil"/>
              <w:bottom w:val="double" w:sz="4" w:space="0" w:color="auto"/>
              <w:right w:val="nil"/>
            </w:tcBorders>
            <w:shd w:val="clear" w:color="auto" w:fill="auto"/>
            <w:noWrap/>
            <w:vAlign w:val="bottom"/>
          </w:tcPr>
          <w:p w14:paraId="14EFDD3D" w14:textId="77777777" w:rsidR="008C676E" w:rsidRPr="00CB31AE" w:rsidRDefault="008C676E" w:rsidP="00AB1DC6">
            <w:pPr>
              <w:spacing w:after="0" w:line="240" w:lineRule="auto"/>
              <w:rPr>
                <w:rFonts w:ascii="Arial" w:eastAsia="Times New Roman" w:hAnsi="Arial" w:cs="Arial"/>
                <w:color w:val="000000"/>
                <w:sz w:val="20"/>
                <w:szCs w:val="20"/>
                <w:lang w:eastAsia="en-GB"/>
              </w:rPr>
            </w:pPr>
          </w:p>
        </w:tc>
        <w:tc>
          <w:tcPr>
            <w:tcW w:w="1531" w:type="dxa"/>
            <w:tcBorders>
              <w:top w:val="single" w:sz="4" w:space="0" w:color="auto"/>
              <w:left w:val="nil"/>
              <w:bottom w:val="double" w:sz="4" w:space="0" w:color="auto"/>
              <w:right w:val="nil"/>
            </w:tcBorders>
            <w:vAlign w:val="bottom"/>
          </w:tcPr>
          <w:p w14:paraId="51071E76" w14:textId="77777777" w:rsidR="008C676E" w:rsidRPr="005C7B8C" w:rsidRDefault="008C676E" w:rsidP="00AB1DC6">
            <w:pPr>
              <w:spacing w:after="0" w:line="240" w:lineRule="auto"/>
              <w:jc w:val="right"/>
              <w:rPr>
                <w:rFonts w:ascii="Arial" w:eastAsia="Times New Roman" w:hAnsi="Arial" w:cs="Arial"/>
                <w:b/>
                <w:bCs/>
                <w:color w:val="000000"/>
                <w:sz w:val="20"/>
                <w:szCs w:val="20"/>
                <w:lang w:eastAsia="en-GB"/>
              </w:rPr>
            </w:pPr>
            <w:r w:rsidRPr="005C7B8C">
              <w:rPr>
                <w:rFonts w:ascii="Arial" w:eastAsia="Times New Roman" w:hAnsi="Arial" w:cs="Arial"/>
                <w:b/>
                <w:bCs/>
                <w:color w:val="000000"/>
                <w:sz w:val="20"/>
                <w:szCs w:val="20"/>
                <w:lang w:eastAsia="en-GB"/>
              </w:rPr>
              <w:t>-</w:t>
            </w:r>
          </w:p>
        </w:tc>
        <w:tc>
          <w:tcPr>
            <w:tcW w:w="1531" w:type="dxa"/>
            <w:tcBorders>
              <w:top w:val="single" w:sz="4" w:space="0" w:color="auto"/>
              <w:left w:val="nil"/>
              <w:bottom w:val="double" w:sz="4" w:space="0" w:color="auto"/>
              <w:right w:val="nil"/>
            </w:tcBorders>
            <w:vAlign w:val="bottom"/>
          </w:tcPr>
          <w:p w14:paraId="192882A4" w14:textId="77777777" w:rsidR="008C676E" w:rsidRPr="00CB31AE" w:rsidRDefault="008C676E" w:rsidP="00AB1DC6">
            <w:pPr>
              <w:spacing w:after="0" w:line="240" w:lineRule="auto"/>
              <w:jc w:val="right"/>
              <w:rPr>
                <w:rFonts w:ascii="Arial" w:hAnsi="Arial" w:cs="Arial"/>
                <w:sz w:val="20"/>
                <w:szCs w:val="20"/>
              </w:rPr>
            </w:pPr>
            <w:r w:rsidRPr="00CB31AE">
              <w:rPr>
                <w:rFonts w:ascii="Arial" w:eastAsia="Times New Roman" w:hAnsi="Arial" w:cs="Arial"/>
                <w:color w:val="000000"/>
                <w:sz w:val="20"/>
                <w:szCs w:val="20"/>
                <w:lang w:eastAsia="en-GB"/>
              </w:rPr>
              <w:t>4.8</w:t>
            </w:r>
          </w:p>
        </w:tc>
      </w:tr>
    </w:tbl>
    <w:p w14:paraId="278420E8" w14:textId="77777777" w:rsidR="008C676E" w:rsidRPr="004D7811" w:rsidRDefault="008C676E" w:rsidP="008C676E">
      <w:pPr>
        <w:spacing w:after="0"/>
        <w:jc w:val="both"/>
        <w:rPr>
          <w:rFonts w:ascii="Arial" w:hAnsi="Arial" w:cs="Arial"/>
          <w:i/>
          <w:iCs/>
          <w:sz w:val="20"/>
          <w:szCs w:val="20"/>
          <w:highlight w:val="yellow"/>
        </w:rPr>
      </w:pPr>
    </w:p>
    <w:p w14:paraId="12EF2313" w14:textId="6F0712C6" w:rsidR="008C676E" w:rsidRDefault="008C676E" w:rsidP="008C676E">
      <w:pPr>
        <w:spacing w:after="0"/>
        <w:jc w:val="both"/>
        <w:rPr>
          <w:rFonts w:ascii="Arial" w:hAnsi="Arial" w:cs="Arial"/>
          <w:sz w:val="20"/>
          <w:szCs w:val="20"/>
        </w:rPr>
      </w:pPr>
      <w:r w:rsidRPr="008A6B19">
        <w:rPr>
          <w:rFonts w:ascii="Arial" w:hAnsi="Arial" w:cs="Arial"/>
          <w:sz w:val="20"/>
          <w:szCs w:val="20"/>
        </w:rPr>
        <w:t xml:space="preserve">Contingent consideration represented the divestment of non-core activities within the Group’s Air Quality business following the sale of </w:t>
      </w:r>
      <w:proofErr w:type="spellStart"/>
      <w:r w:rsidRPr="008A6B19">
        <w:rPr>
          <w:rFonts w:ascii="Arial" w:hAnsi="Arial" w:cs="Arial"/>
          <w:sz w:val="20"/>
          <w:szCs w:val="20"/>
        </w:rPr>
        <w:t>Ductclean</w:t>
      </w:r>
      <w:proofErr w:type="spellEnd"/>
      <w:r w:rsidRPr="008A6B19">
        <w:rPr>
          <w:rFonts w:ascii="Arial" w:hAnsi="Arial" w:cs="Arial"/>
          <w:sz w:val="20"/>
          <w:szCs w:val="20"/>
        </w:rPr>
        <w:t xml:space="preserve"> (UK) Limited in March 2020 for a consideration of up to £7.0m and additional amounts receivable on projects concluded before the transaction. These were financial assets classified as measured at fair value through profit or loss. </w:t>
      </w:r>
      <w:r w:rsidRPr="00C93C62">
        <w:rPr>
          <w:rFonts w:ascii="Arial" w:hAnsi="Arial" w:cs="Arial"/>
          <w:sz w:val="20"/>
          <w:szCs w:val="20"/>
        </w:rPr>
        <w:t xml:space="preserve">As </w:t>
      </w:r>
      <w:proofErr w:type="gramStart"/>
      <w:r w:rsidRPr="00C93C62">
        <w:rPr>
          <w:rFonts w:ascii="Arial" w:hAnsi="Arial" w:cs="Arial"/>
          <w:sz w:val="20"/>
          <w:szCs w:val="20"/>
        </w:rPr>
        <w:t>at</w:t>
      </w:r>
      <w:proofErr w:type="gramEnd"/>
      <w:r w:rsidRPr="00C93C62">
        <w:rPr>
          <w:rFonts w:ascii="Arial" w:hAnsi="Arial" w:cs="Arial"/>
          <w:sz w:val="20"/>
          <w:szCs w:val="20"/>
        </w:rPr>
        <w:t xml:space="preserve"> 31 March 2024, the contingent consideration amounted to £nil (2023: £4.8m). During the year, a settlement agreement was made with the counterparty to settle the outstanding amount of contingent consideration.</w:t>
      </w:r>
    </w:p>
    <w:p w14:paraId="7B214B9E" w14:textId="77777777" w:rsidR="008C676E" w:rsidRPr="004D7811" w:rsidRDefault="008C676E" w:rsidP="008C676E">
      <w:pPr>
        <w:spacing w:after="0"/>
        <w:jc w:val="both"/>
        <w:rPr>
          <w:rFonts w:ascii="Arial" w:hAnsi="Arial" w:cs="Arial"/>
          <w:sz w:val="20"/>
          <w:szCs w:val="20"/>
          <w:highlight w:val="yellow"/>
        </w:rPr>
      </w:pPr>
    </w:p>
    <w:p w14:paraId="475EE3AF" w14:textId="7D681BC1" w:rsidR="008C676E" w:rsidRDefault="008C676E" w:rsidP="008C676E">
      <w:pPr>
        <w:spacing w:after="0"/>
        <w:jc w:val="both"/>
        <w:rPr>
          <w:rFonts w:ascii="Arial" w:hAnsi="Arial" w:cs="Arial"/>
          <w:sz w:val="20"/>
          <w:szCs w:val="20"/>
        </w:rPr>
      </w:pPr>
      <w:proofErr w:type="gramStart"/>
      <w:r w:rsidRPr="004A198E">
        <w:rPr>
          <w:rFonts w:ascii="Arial" w:hAnsi="Arial" w:cs="Arial"/>
          <w:sz w:val="20"/>
          <w:szCs w:val="20"/>
        </w:rPr>
        <w:t>Trade receivables,</w:t>
      </w:r>
      <w:proofErr w:type="gramEnd"/>
      <w:r w:rsidRPr="004A198E">
        <w:rPr>
          <w:rFonts w:ascii="Arial" w:hAnsi="Arial" w:cs="Arial"/>
          <w:sz w:val="20"/>
          <w:szCs w:val="20"/>
        </w:rPr>
        <w:t xml:space="preserve"> accrued income and contract assets are provided for based on, and in accordance with IFRS 9, an expect</w:t>
      </w:r>
      <w:r w:rsidR="00BA6D8B">
        <w:rPr>
          <w:rFonts w:ascii="Arial" w:hAnsi="Arial" w:cs="Arial"/>
          <w:sz w:val="20"/>
          <w:szCs w:val="20"/>
        </w:rPr>
        <w:t xml:space="preserve">ed </w:t>
      </w:r>
      <w:r w:rsidRPr="004A198E">
        <w:rPr>
          <w:rFonts w:ascii="Arial" w:hAnsi="Arial" w:cs="Arial"/>
          <w:sz w:val="20"/>
          <w:szCs w:val="20"/>
        </w:rPr>
        <w:t xml:space="preserve">credit loss ("ECL") model. The </w:t>
      </w:r>
      <w:r>
        <w:rPr>
          <w:rFonts w:ascii="Arial" w:hAnsi="Arial" w:cs="Arial"/>
          <w:sz w:val="20"/>
          <w:szCs w:val="20"/>
        </w:rPr>
        <w:t>G</w:t>
      </w:r>
      <w:r w:rsidRPr="004A198E">
        <w:rPr>
          <w:rFonts w:ascii="Arial" w:hAnsi="Arial" w:cs="Arial"/>
          <w:sz w:val="20"/>
          <w:szCs w:val="20"/>
        </w:rPr>
        <w:t xml:space="preserve">roup have utilised a simplified approach which is permitted by the standard, which applies a credit risk percentage based against receivables that are grouped in age brackets, </w:t>
      </w:r>
      <w:r w:rsidRPr="004A198E">
        <w:rPr>
          <w:rFonts w:ascii="Arial" w:hAnsi="Arial" w:cs="Arial"/>
          <w:sz w:val="20"/>
          <w:szCs w:val="20"/>
        </w:rPr>
        <w:lastRenderedPageBreak/>
        <w:t xml:space="preserve">which range from </w:t>
      </w:r>
      <w:r>
        <w:rPr>
          <w:rFonts w:ascii="Arial" w:hAnsi="Arial" w:cs="Arial"/>
          <w:sz w:val="20"/>
          <w:szCs w:val="20"/>
        </w:rPr>
        <w:t>18</w:t>
      </w:r>
      <w:r w:rsidRPr="004A198E">
        <w:rPr>
          <w:rFonts w:ascii="Arial" w:hAnsi="Arial" w:cs="Arial"/>
          <w:sz w:val="20"/>
          <w:szCs w:val="20"/>
        </w:rPr>
        <w:t xml:space="preserve">% of those over 120 days past due to </w:t>
      </w:r>
      <w:r>
        <w:rPr>
          <w:rFonts w:ascii="Arial" w:hAnsi="Arial" w:cs="Arial"/>
          <w:sz w:val="20"/>
          <w:szCs w:val="20"/>
        </w:rPr>
        <w:t>1</w:t>
      </w:r>
      <w:r w:rsidRPr="004A198E">
        <w:rPr>
          <w:rFonts w:ascii="Arial" w:hAnsi="Arial" w:cs="Arial"/>
          <w:sz w:val="20"/>
          <w:szCs w:val="20"/>
        </w:rPr>
        <w:t>% of those between 0 and 30 days past due.</w:t>
      </w:r>
      <w:r>
        <w:rPr>
          <w:rFonts w:ascii="Arial" w:hAnsi="Arial" w:cs="Arial"/>
          <w:sz w:val="20"/>
          <w:szCs w:val="20"/>
        </w:rPr>
        <w:t xml:space="preserve"> </w:t>
      </w:r>
      <w:r w:rsidRPr="00633112">
        <w:rPr>
          <w:rFonts w:ascii="Arial" w:hAnsi="Arial" w:cs="Arial"/>
          <w:sz w:val="20"/>
          <w:szCs w:val="20"/>
        </w:rPr>
        <w:t>The expected credit loss percentages have been calculated by reference to the credit losses experienced by age bracket in the previous 12 months. These percentages have been reviewed against our expectations of lifetime credit losses expected for certain customers, alongside considering the expected future economic outlook in the UK.</w:t>
      </w:r>
    </w:p>
    <w:p w14:paraId="1E519102" w14:textId="77777777" w:rsidR="008C676E" w:rsidRPr="004D7811" w:rsidRDefault="008C676E" w:rsidP="008C676E">
      <w:pPr>
        <w:spacing w:after="0"/>
        <w:jc w:val="both"/>
        <w:rPr>
          <w:rFonts w:ascii="Arial" w:hAnsi="Arial" w:cs="Arial"/>
          <w:sz w:val="20"/>
          <w:szCs w:val="20"/>
          <w:highlight w:val="yellow"/>
        </w:rPr>
      </w:pPr>
    </w:p>
    <w:p w14:paraId="3A34CACD" w14:textId="77777777" w:rsidR="008C676E" w:rsidRDefault="008C676E" w:rsidP="008C676E">
      <w:pPr>
        <w:spacing w:after="0"/>
        <w:jc w:val="both"/>
        <w:rPr>
          <w:rFonts w:ascii="Arial" w:hAnsi="Arial" w:cs="Arial"/>
          <w:sz w:val="20"/>
          <w:szCs w:val="20"/>
        </w:rPr>
      </w:pPr>
      <w:r w:rsidRPr="004A198E">
        <w:rPr>
          <w:rFonts w:ascii="Arial" w:hAnsi="Arial" w:cs="Arial"/>
          <w:sz w:val="20"/>
          <w:szCs w:val="20"/>
        </w:rPr>
        <w:t xml:space="preserve">As </w:t>
      </w:r>
      <w:proofErr w:type="gramStart"/>
      <w:r w:rsidRPr="004A198E">
        <w:rPr>
          <w:rFonts w:ascii="Arial" w:hAnsi="Arial" w:cs="Arial"/>
          <w:sz w:val="20"/>
          <w:szCs w:val="20"/>
        </w:rPr>
        <w:t>at</w:t>
      </w:r>
      <w:proofErr w:type="gramEnd"/>
      <w:r w:rsidRPr="004A198E">
        <w:rPr>
          <w:rFonts w:ascii="Arial" w:hAnsi="Arial" w:cs="Arial"/>
          <w:sz w:val="20"/>
          <w:szCs w:val="20"/>
        </w:rPr>
        <w:t xml:space="preserve"> 31 March 2024, the remaining balance of trade receivables which were past due, after applying the ECL model to the age buckets </w:t>
      </w:r>
      <w:r w:rsidRPr="00736C6B">
        <w:rPr>
          <w:rFonts w:ascii="Arial" w:hAnsi="Arial" w:cs="Arial"/>
          <w:sz w:val="20"/>
          <w:szCs w:val="20"/>
        </w:rPr>
        <w:t>w</w:t>
      </w:r>
      <w:r w:rsidRPr="00DB09AA">
        <w:rPr>
          <w:rFonts w:ascii="Arial" w:hAnsi="Arial" w:cs="Arial"/>
          <w:sz w:val="20"/>
          <w:szCs w:val="20"/>
        </w:rPr>
        <w:t>as £33.</w:t>
      </w:r>
      <w:r>
        <w:rPr>
          <w:rFonts w:ascii="Arial" w:hAnsi="Arial" w:cs="Arial"/>
          <w:sz w:val="20"/>
          <w:szCs w:val="20"/>
        </w:rPr>
        <w:t>6</w:t>
      </w:r>
      <w:r w:rsidRPr="00DB09AA">
        <w:rPr>
          <w:rFonts w:ascii="Arial" w:hAnsi="Arial" w:cs="Arial"/>
          <w:sz w:val="20"/>
          <w:szCs w:val="20"/>
        </w:rPr>
        <w:t xml:space="preserve">m (2023: £33.5m). No further provision has been recognised on these amounts because it has been deemed immaterial. These relate to </w:t>
      </w:r>
      <w:proofErr w:type="gramStart"/>
      <w:r w:rsidRPr="00DB09AA">
        <w:rPr>
          <w:rFonts w:ascii="Arial" w:hAnsi="Arial" w:cs="Arial"/>
          <w:sz w:val="20"/>
          <w:szCs w:val="20"/>
        </w:rPr>
        <w:t>a</w:t>
      </w:r>
      <w:r w:rsidRPr="004A198E">
        <w:rPr>
          <w:rFonts w:ascii="Arial" w:hAnsi="Arial" w:cs="Arial"/>
          <w:sz w:val="20"/>
          <w:szCs w:val="20"/>
        </w:rPr>
        <w:t xml:space="preserve"> number of</w:t>
      </w:r>
      <w:proofErr w:type="gramEnd"/>
      <w:r w:rsidRPr="004A198E">
        <w:rPr>
          <w:rFonts w:ascii="Arial" w:hAnsi="Arial" w:cs="Arial"/>
          <w:sz w:val="20"/>
          <w:szCs w:val="20"/>
        </w:rPr>
        <w:t xml:space="preserve"> independent customers with no recent history of default.</w:t>
      </w:r>
    </w:p>
    <w:p w14:paraId="6824125B" w14:textId="77777777" w:rsidR="00B90303" w:rsidRDefault="00B90303" w:rsidP="00B90303">
      <w:pPr>
        <w:spacing w:after="0"/>
        <w:rPr>
          <w:rFonts w:ascii="Arial" w:eastAsia="Times New Roman" w:hAnsi="Arial" w:cs="Arial"/>
          <w:b/>
          <w:bCs/>
          <w:color w:val="000000"/>
          <w:sz w:val="20"/>
          <w:szCs w:val="20"/>
          <w:lang w:eastAsia="en-GB"/>
        </w:rPr>
      </w:pPr>
    </w:p>
    <w:p w14:paraId="4AE1155C" w14:textId="4A4DA2E3" w:rsidR="00B90303" w:rsidRPr="001B1B8D" w:rsidRDefault="00FE6936" w:rsidP="00B90303">
      <w:pPr>
        <w:spacing w:after="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9</w:t>
      </w:r>
      <w:r w:rsidR="00B90303" w:rsidRPr="001B1B8D">
        <w:rPr>
          <w:rFonts w:ascii="Arial" w:eastAsia="Times New Roman" w:hAnsi="Arial" w:cs="Arial"/>
          <w:b/>
          <w:bCs/>
          <w:color w:val="000000"/>
          <w:sz w:val="20"/>
          <w:szCs w:val="20"/>
          <w:lang w:eastAsia="en-GB"/>
        </w:rPr>
        <w:t>. Trade and other payables</w:t>
      </w:r>
    </w:p>
    <w:tbl>
      <w:tblPr>
        <w:tblW w:w="9752" w:type="dxa"/>
        <w:tblLook w:val="04A0" w:firstRow="1" w:lastRow="0" w:firstColumn="1" w:lastColumn="0" w:noHBand="0" w:noVBand="1"/>
      </w:tblPr>
      <w:tblGrid>
        <w:gridCol w:w="6690"/>
        <w:gridCol w:w="1531"/>
        <w:gridCol w:w="1531"/>
      </w:tblGrid>
      <w:tr w:rsidR="008C676E" w:rsidRPr="004D7811" w14:paraId="380C3B0E" w14:textId="77777777" w:rsidTr="00AB1DC6">
        <w:trPr>
          <w:trHeight w:val="283"/>
        </w:trPr>
        <w:tc>
          <w:tcPr>
            <w:tcW w:w="6690" w:type="dxa"/>
            <w:tcBorders>
              <w:top w:val="nil"/>
              <w:left w:val="nil"/>
              <w:bottom w:val="nil"/>
              <w:right w:val="nil"/>
            </w:tcBorders>
            <w:shd w:val="clear" w:color="auto" w:fill="auto"/>
            <w:noWrap/>
            <w:vAlign w:val="bottom"/>
            <w:hideMark/>
          </w:tcPr>
          <w:p w14:paraId="76B60F96" w14:textId="77777777" w:rsidR="008C676E" w:rsidRPr="00B04049" w:rsidRDefault="008C676E" w:rsidP="00AB1DC6">
            <w:pPr>
              <w:spacing w:after="0" w:line="240" w:lineRule="auto"/>
              <w:jc w:val="right"/>
              <w:rPr>
                <w:rFonts w:ascii="Arial" w:eastAsia="Times New Roman" w:hAnsi="Arial" w:cs="Arial"/>
                <w:sz w:val="20"/>
                <w:szCs w:val="20"/>
                <w:lang w:eastAsia="en-GB"/>
              </w:rPr>
            </w:pPr>
          </w:p>
        </w:tc>
        <w:tc>
          <w:tcPr>
            <w:tcW w:w="1531" w:type="dxa"/>
            <w:tcBorders>
              <w:top w:val="nil"/>
              <w:left w:val="nil"/>
              <w:bottom w:val="nil"/>
              <w:right w:val="nil"/>
            </w:tcBorders>
            <w:vAlign w:val="bottom"/>
          </w:tcPr>
          <w:p w14:paraId="4180DAD0" w14:textId="77777777" w:rsidR="008C676E" w:rsidRPr="00D002AA" w:rsidRDefault="008C676E" w:rsidP="00AB1DC6">
            <w:pPr>
              <w:spacing w:after="0" w:line="240" w:lineRule="auto"/>
              <w:jc w:val="right"/>
              <w:rPr>
                <w:rFonts w:ascii="Arial" w:eastAsia="Times New Roman" w:hAnsi="Arial" w:cs="Arial"/>
                <w:b/>
                <w:bCs/>
                <w:color w:val="000000"/>
                <w:sz w:val="20"/>
                <w:szCs w:val="20"/>
                <w:lang w:eastAsia="en-GB"/>
              </w:rPr>
            </w:pPr>
            <w:r w:rsidRPr="00D002AA">
              <w:rPr>
                <w:rFonts w:ascii="Arial" w:eastAsia="Times New Roman" w:hAnsi="Arial" w:cs="Arial"/>
                <w:b/>
                <w:bCs/>
                <w:color w:val="000000"/>
                <w:sz w:val="20"/>
                <w:szCs w:val="20"/>
                <w:lang w:eastAsia="en-GB"/>
              </w:rPr>
              <w:t>2024</w:t>
            </w:r>
          </w:p>
        </w:tc>
        <w:tc>
          <w:tcPr>
            <w:tcW w:w="1531" w:type="dxa"/>
            <w:tcBorders>
              <w:top w:val="nil"/>
              <w:left w:val="nil"/>
              <w:bottom w:val="nil"/>
              <w:right w:val="nil"/>
            </w:tcBorders>
            <w:shd w:val="clear" w:color="auto" w:fill="auto"/>
            <w:vAlign w:val="bottom"/>
            <w:hideMark/>
          </w:tcPr>
          <w:p w14:paraId="07573801" w14:textId="77777777" w:rsidR="008C676E" w:rsidRPr="00D002AA" w:rsidRDefault="008C676E" w:rsidP="00AB1DC6">
            <w:pPr>
              <w:spacing w:after="0" w:line="240" w:lineRule="auto"/>
              <w:jc w:val="right"/>
              <w:rPr>
                <w:rFonts w:ascii="Arial" w:eastAsia="Times New Roman" w:hAnsi="Arial" w:cs="Arial"/>
                <w:b/>
                <w:bCs/>
                <w:color w:val="000000"/>
                <w:sz w:val="20"/>
                <w:szCs w:val="20"/>
                <w:lang w:eastAsia="en-GB"/>
              </w:rPr>
            </w:pPr>
            <w:r w:rsidRPr="00D002AA">
              <w:rPr>
                <w:rFonts w:ascii="Arial" w:eastAsia="Times New Roman" w:hAnsi="Arial" w:cs="Arial"/>
                <w:b/>
                <w:bCs/>
                <w:color w:val="000000"/>
                <w:sz w:val="20"/>
                <w:szCs w:val="20"/>
                <w:lang w:eastAsia="en-GB"/>
              </w:rPr>
              <w:t>2023</w:t>
            </w:r>
          </w:p>
        </w:tc>
      </w:tr>
      <w:tr w:rsidR="008C676E" w:rsidRPr="004D7811" w14:paraId="47FDFA9D" w14:textId="77777777" w:rsidTr="00AB1DC6">
        <w:trPr>
          <w:trHeight w:val="283"/>
        </w:trPr>
        <w:tc>
          <w:tcPr>
            <w:tcW w:w="6690" w:type="dxa"/>
            <w:tcBorders>
              <w:top w:val="nil"/>
              <w:left w:val="nil"/>
              <w:bottom w:val="nil"/>
              <w:right w:val="nil"/>
            </w:tcBorders>
            <w:shd w:val="clear" w:color="auto" w:fill="auto"/>
            <w:noWrap/>
            <w:vAlign w:val="bottom"/>
            <w:hideMark/>
          </w:tcPr>
          <w:p w14:paraId="484266DF" w14:textId="77777777" w:rsidR="008C676E" w:rsidRPr="00B04049" w:rsidRDefault="008C676E" w:rsidP="00AB1DC6">
            <w:pPr>
              <w:spacing w:after="0" w:line="240" w:lineRule="auto"/>
              <w:jc w:val="right"/>
              <w:rPr>
                <w:rFonts w:ascii="Arial" w:eastAsia="Times New Roman" w:hAnsi="Arial" w:cs="Arial"/>
                <w:color w:val="000000"/>
                <w:sz w:val="20"/>
                <w:szCs w:val="20"/>
                <w:lang w:eastAsia="en-GB"/>
              </w:rPr>
            </w:pPr>
          </w:p>
        </w:tc>
        <w:tc>
          <w:tcPr>
            <w:tcW w:w="1531" w:type="dxa"/>
            <w:tcBorders>
              <w:top w:val="nil"/>
              <w:left w:val="nil"/>
              <w:bottom w:val="nil"/>
              <w:right w:val="nil"/>
            </w:tcBorders>
            <w:vAlign w:val="bottom"/>
          </w:tcPr>
          <w:p w14:paraId="36714A3C" w14:textId="77777777" w:rsidR="008C676E" w:rsidRPr="00D002AA" w:rsidRDefault="008C676E" w:rsidP="00AB1DC6">
            <w:pPr>
              <w:spacing w:after="0" w:line="240" w:lineRule="auto"/>
              <w:jc w:val="right"/>
              <w:rPr>
                <w:rFonts w:ascii="Arial" w:eastAsia="Times New Roman" w:hAnsi="Arial" w:cs="Arial"/>
                <w:b/>
                <w:bCs/>
                <w:color w:val="000000"/>
                <w:sz w:val="20"/>
                <w:szCs w:val="20"/>
                <w:lang w:eastAsia="en-GB"/>
              </w:rPr>
            </w:pPr>
            <w:r w:rsidRPr="00D002AA">
              <w:rPr>
                <w:rFonts w:ascii="Arial" w:eastAsia="Times New Roman" w:hAnsi="Arial" w:cs="Arial"/>
                <w:b/>
                <w:bCs/>
                <w:color w:val="000000"/>
                <w:sz w:val="20"/>
                <w:szCs w:val="20"/>
                <w:lang w:eastAsia="en-GB"/>
              </w:rPr>
              <w:t>£'m</w:t>
            </w:r>
          </w:p>
        </w:tc>
        <w:tc>
          <w:tcPr>
            <w:tcW w:w="1531" w:type="dxa"/>
            <w:tcBorders>
              <w:top w:val="nil"/>
              <w:left w:val="nil"/>
              <w:bottom w:val="nil"/>
              <w:right w:val="nil"/>
            </w:tcBorders>
            <w:shd w:val="clear" w:color="auto" w:fill="auto"/>
            <w:noWrap/>
            <w:vAlign w:val="bottom"/>
            <w:hideMark/>
          </w:tcPr>
          <w:p w14:paraId="3339B5BE" w14:textId="77777777" w:rsidR="008C676E" w:rsidRPr="00D002AA" w:rsidRDefault="008C676E" w:rsidP="00AB1DC6">
            <w:pPr>
              <w:spacing w:after="0" w:line="240" w:lineRule="auto"/>
              <w:jc w:val="right"/>
              <w:rPr>
                <w:rFonts w:ascii="Arial" w:eastAsia="Times New Roman" w:hAnsi="Arial" w:cs="Arial"/>
                <w:b/>
                <w:bCs/>
                <w:color w:val="000000"/>
                <w:sz w:val="20"/>
                <w:szCs w:val="20"/>
                <w:lang w:eastAsia="en-GB"/>
              </w:rPr>
            </w:pPr>
            <w:r w:rsidRPr="00D002AA">
              <w:rPr>
                <w:rFonts w:ascii="Arial" w:eastAsia="Times New Roman" w:hAnsi="Arial" w:cs="Arial"/>
                <w:b/>
                <w:bCs/>
                <w:color w:val="000000"/>
                <w:sz w:val="20"/>
                <w:szCs w:val="20"/>
                <w:lang w:eastAsia="en-GB"/>
              </w:rPr>
              <w:t>£'m</w:t>
            </w:r>
          </w:p>
        </w:tc>
      </w:tr>
      <w:tr w:rsidR="008C676E" w:rsidRPr="004D7811" w14:paraId="0924EDC7" w14:textId="77777777" w:rsidTr="00AB1DC6">
        <w:trPr>
          <w:trHeight w:val="283"/>
        </w:trPr>
        <w:tc>
          <w:tcPr>
            <w:tcW w:w="6690" w:type="dxa"/>
            <w:tcBorders>
              <w:top w:val="single" w:sz="4" w:space="0" w:color="auto"/>
              <w:left w:val="nil"/>
              <w:right w:val="nil"/>
            </w:tcBorders>
            <w:shd w:val="clear" w:color="auto" w:fill="auto"/>
            <w:noWrap/>
            <w:vAlign w:val="bottom"/>
            <w:hideMark/>
          </w:tcPr>
          <w:p w14:paraId="75842289" w14:textId="77777777" w:rsidR="008C676E" w:rsidRPr="00B04049" w:rsidRDefault="008C676E" w:rsidP="00AB1DC6">
            <w:pPr>
              <w:spacing w:after="0" w:line="240" w:lineRule="auto"/>
              <w:rPr>
                <w:rFonts w:ascii="Arial" w:eastAsia="Times New Roman" w:hAnsi="Arial" w:cs="Arial"/>
                <w:b/>
                <w:bCs/>
                <w:color w:val="000000"/>
                <w:sz w:val="20"/>
                <w:szCs w:val="20"/>
                <w:lang w:eastAsia="en-GB"/>
              </w:rPr>
            </w:pPr>
            <w:r w:rsidRPr="00B04049">
              <w:rPr>
                <w:rFonts w:ascii="Arial" w:eastAsia="Times New Roman" w:hAnsi="Arial" w:cs="Arial"/>
                <w:b/>
                <w:bCs/>
                <w:color w:val="000000"/>
                <w:sz w:val="20"/>
                <w:szCs w:val="20"/>
                <w:lang w:eastAsia="en-GB"/>
              </w:rPr>
              <w:t>Current</w:t>
            </w:r>
          </w:p>
        </w:tc>
        <w:tc>
          <w:tcPr>
            <w:tcW w:w="1531" w:type="dxa"/>
            <w:tcBorders>
              <w:top w:val="single" w:sz="4" w:space="0" w:color="auto"/>
              <w:left w:val="nil"/>
              <w:right w:val="nil"/>
            </w:tcBorders>
          </w:tcPr>
          <w:p w14:paraId="692DE93D" w14:textId="77777777" w:rsidR="008C676E" w:rsidRPr="00B04049" w:rsidRDefault="008C676E" w:rsidP="00AB1DC6">
            <w:pPr>
              <w:spacing w:after="0" w:line="240" w:lineRule="auto"/>
              <w:jc w:val="right"/>
              <w:rPr>
                <w:rFonts w:ascii="Arial" w:eastAsia="Times New Roman" w:hAnsi="Arial" w:cs="Arial"/>
                <w:color w:val="000000"/>
                <w:sz w:val="20"/>
                <w:szCs w:val="20"/>
                <w:lang w:eastAsia="en-GB"/>
              </w:rPr>
            </w:pPr>
          </w:p>
        </w:tc>
        <w:tc>
          <w:tcPr>
            <w:tcW w:w="1531" w:type="dxa"/>
            <w:tcBorders>
              <w:top w:val="single" w:sz="4" w:space="0" w:color="auto"/>
              <w:left w:val="nil"/>
              <w:right w:val="nil"/>
            </w:tcBorders>
            <w:shd w:val="clear" w:color="auto" w:fill="auto"/>
            <w:noWrap/>
            <w:vAlign w:val="bottom"/>
            <w:hideMark/>
          </w:tcPr>
          <w:p w14:paraId="2159B296" w14:textId="77777777" w:rsidR="008C676E" w:rsidRPr="00B04049" w:rsidRDefault="008C676E" w:rsidP="00AB1DC6">
            <w:pPr>
              <w:spacing w:after="0" w:line="240" w:lineRule="auto"/>
              <w:jc w:val="right"/>
              <w:rPr>
                <w:rFonts w:ascii="Arial" w:eastAsia="Times New Roman" w:hAnsi="Arial" w:cs="Arial"/>
                <w:color w:val="000000"/>
                <w:sz w:val="20"/>
                <w:szCs w:val="20"/>
                <w:lang w:eastAsia="en-GB"/>
              </w:rPr>
            </w:pPr>
          </w:p>
        </w:tc>
      </w:tr>
      <w:tr w:rsidR="008C676E" w:rsidRPr="004D7811" w14:paraId="2E22388C" w14:textId="77777777" w:rsidTr="00AB1DC6">
        <w:trPr>
          <w:trHeight w:val="283"/>
        </w:trPr>
        <w:tc>
          <w:tcPr>
            <w:tcW w:w="6690" w:type="dxa"/>
            <w:tcBorders>
              <w:top w:val="nil"/>
              <w:left w:val="nil"/>
              <w:right w:val="nil"/>
            </w:tcBorders>
            <w:shd w:val="clear" w:color="auto" w:fill="auto"/>
            <w:noWrap/>
            <w:vAlign w:val="bottom"/>
            <w:hideMark/>
          </w:tcPr>
          <w:p w14:paraId="68C29121" w14:textId="77777777" w:rsidR="008C676E" w:rsidRPr="00372825" w:rsidRDefault="008C676E" w:rsidP="00AB1DC6">
            <w:pPr>
              <w:spacing w:after="0" w:line="240" w:lineRule="auto"/>
              <w:rPr>
                <w:rFonts w:ascii="Arial" w:eastAsia="Times New Roman" w:hAnsi="Arial" w:cs="Arial"/>
                <w:color w:val="000000"/>
                <w:sz w:val="20"/>
                <w:szCs w:val="20"/>
                <w:lang w:eastAsia="en-GB"/>
              </w:rPr>
            </w:pPr>
            <w:r w:rsidRPr="00372825">
              <w:rPr>
                <w:rFonts w:ascii="Arial" w:hAnsi="Arial" w:cs="Arial"/>
                <w:sz w:val="20"/>
                <w:szCs w:val="20"/>
              </w:rPr>
              <w:t>Trade payables</w:t>
            </w:r>
          </w:p>
        </w:tc>
        <w:tc>
          <w:tcPr>
            <w:tcW w:w="1531" w:type="dxa"/>
            <w:tcBorders>
              <w:top w:val="nil"/>
              <w:left w:val="nil"/>
              <w:right w:val="nil"/>
            </w:tcBorders>
            <w:vAlign w:val="bottom"/>
          </w:tcPr>
          <w:p w14:paraId="0B4694C7" w14:textId="77777777" w:rsidR="008C676E" w:rsidRPr="00372825" w:rsidRDefault="008C676E" w:rsidP="00AB1DC6">
            <w:pPr>
              <w:spacing w:after="0" w:line="240" w:lineRule="auto"/>
              <w:jc w:val="right"/>
              <w:rPr>
                <w:rFonts w:ascii="Arial" w:eastAsia="Times New Roman" w:hAnsi="Arial" w:cs="Arial"/>
                <w:b/>
                <w:bCs/>
                <w:color w:val="000000"/>
                <w:sz w:val="20"/>
                <w:szCs w:val="20"/>
                <w:lang w:eastAsia="en-GB"/>
              </w:rPr>
            </w:pPr>
            <w:r w:rsidRPr="00372825">
              <w:rPr>
                <w:rFonts w:ascii="Arial" w:eastAsia="Times New Roman" w:hAnsi="Arial" w:cs="Arial"/>
                <w:b/>
                <w:bCs/>
                <w:color w:val="000000"/>
                <w:sz w:val="20"/>
                <w:szCs w:val="20"/>
                <w:lang w:eastAsia="en-GB"/>
              </w:rPr>
              <w:t>29.1</w:t>
            </w:r>
          </w:p>
        </w:tc>
        <w:tc>
          <w:tcPr>
            <w:tcW w:w="1531" w:type="dxa"/>
            <w:tcBorders>
              <w:top w:val="nil"/>
              <w:left w:val="nil"/>
              <w:right w:val="nil"/>
            </w:tcBorders>
            <w:shd w:val="clear" w:color="auto" w:fill="auto"/>
            <w:noWrap/>
            <w:vAlign w:val="bottom"/>
          </w:tcPr>
          <w:p w14:paraId="2DC65E73"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33.7</w:t>
            </w:r>
          </w:p>
        </w:tc>
      </w:tr>
      <w:tr w:rsidR="008C676E" w:rsidRPr="004D7811" w14:paraId="13410E90" w14:textId="77777777" w:rsidTr="00AB1DC6">
        <w:trPr>
          <w:trHeight w:val="283"/>
        </w:trPr>
        <w:tc>
          <w:tcPr>
            <w:tcW w:w="6690" w:type="dxa"/>
            <w:tcBorders>
              <w:left w:val="nil"/>
              <w:right w:val="nil"/>
            </w:tcBorders>
            <w:shd w:val="clear" w:color="auto" w:fill="auto"/>
            <w:noWrap/>
            <w:vAlign w:val="bottom"/>
            <w:hideMark/>
          </w:tcPr>
          <w:p w14:paraId="71E0135F" w14:textId="77777777" w:rsidR="008C676E" w:rsidRPr="00B04049" w:rsidRDefault="008C676E" w:rsidP="00AB1DC6">
            <w:pPr>
              <w:spacing w:after="0" w:line="240" w:lineRule="auto"/>
              <w:rPr>
                <w:rFonts w:ascii="Arial" w:eastAsia="Times New Roman" w:hAnsi="Arial" w:cs="Arial"/>
                <w:color w:val="000000"/>
                <w:sz w:val="20"/>
                <w:szCs w:val="20"/>
                <w:lang w:eastAsia="en-GB"/>
              </w:rPr>
            </w:pPr>
            <w:r w:rsidRPr="00B04049">
              <w:rPr>
                <w:rFonts w:ascii="Arial" w:hAnsi="Arial" w:cs="Arial"/>
                <w:sz w:val="20"/>
                <w:szCs w:val="20"/>
              </w:rPr>
              <w:t>Other taxation and social security</w:t>
            </w:r>
          </w:p>
        </w:tc>
        <w:tc>
          <w:tcPr>
            <w:tcW w:w="1531" w:type="dxa"/>
            <w:tcBorders>
              <w:left w:val="nil"/>
              <w:right w:val="nil"/>
            </w:tcBorders>
            <w:vAlign w:val="bottom"/>
          </w:tcPr>
          <w:p w14:paraId="3C540C69"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15.0</w:t>
            </w:r>
          </w:p>
        </w:tc>
        <w:tc>
          <w:tcPr>
            <w:tcW w:w="1531" w:type="dxa"/>
            <w:tcBorders>
              <w:left w:val="nil"/>
              <w:right w:val="nil"/>
            </w:tcBorders>
            <w:shd w:val="clear" w:color="auto" w:fill="auto"/>
            <w:noWrap/>
            <w:vAlign w:val="bottom"/>
          </w:tcPr>
          <w:p w14:paraId="7F6CFD5E"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19.9</w:t>
            </w:r>
          </w:p>
        </w:tc>
      </w:tr>
      <w:tr w:rsidR="008C676E" w:rsidRPr="004D7811" w14:paraId="4F85657C" w14:textId="77777777" w:rsidTr="00AB1DC6">
        <w:trPr>
          <w:trHeight w:val="283"/>
        </w:trPr>
        <w:tc>
          <w:tcPr>
            <w:tcW w:w="6690" w:type="dxa"/>
            <w:tcBorders>
              <w:left w:val="nil"/>
              <w:bottom w:val="nil"/>
              <w:right w:val="nil"/>
            </w:tcBorders>
            <w:shd w:val="clear" w:color="auto" w:fill="auto"/>
            <w:noWrap/>
            <w:vAlign w:val="bottom"/>
            <w:hideMark/>
          </w:tcPr>
          <w:p w14:paraId="41D87744" w14:textId="77777777" w:rsidR="008C676E" w:rsidRPr="00B04049" w:rsidRDefault="008C676E" w:rsidP="00AB1DC6">
            <w:pPr>
              <w:spacing w:after="0" w:line="240" w:lineRule="auto"/>
              <w:rPr>
                <w:rFonts w:ascii="Arial" w:eastAsia="Times New Roman" w:hAnsi="Arial" w:cs="Arial"/>
                <w:color w:val="000000"/>
                <w:sz w:val="20"/>
                <w:szCs w:val="20"/>
                <w:lang w:eastAsia="en-GB"/>
              </w:rPr>
            </w:pPr>
            <w:r w:rsidRPr="00B04049">
              <w:rPr>
                <w:rFonts w:ascii="Arial" w:hAnsi="Arial" w:cs="Arial"/>
                <w:sz w:val="20"/>
                <w:szCs w:val="20"/>
              </w:rPr>
              <w:t>Other payables</w:t>
            </w:r>
          </w:p>
        </w:tc>
        <w:tc>
          <w:tcPr>
            <w:tcW w:w="1531" w:type="dxa"/>
            <w:tcBorders>
              <w:left w:val="nil"/>
              <w:bottom w:val="nil"/>
              <w:right w:val="nil"/>
            </w:tcBorders>
            <w:vAlign w:val="bottom"/>
          </w:tcPr>
          <w:p w14:paraId="28643416"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6.7</w:t>
            </w:r>
          </w:p>
        </w:tc>
        <w:tc>
          <w:tcPr>
            <w:tcW w:w="1531" w:type="dxa"/>
            <w:tcBorders>
              <w:left w:val="nil"/>
              <w:bottom w:val="nil"/>
              <w:right w:val="nil"/>
            </w:tcBorders>
            <w:shd w:val="clear" w:color="auto" w:fill="auto"/>
            <w:noWrap/>
            <w:vAlign w:val="bottom"/>
          </w:tcPr>
          <w:p w14:paraId="272EF54D"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4.0</w:t>
            </w:r>
          </w:p>
        </w:tc>
      </w:tr>
      <w:tr w:rsidR="008C676E" w:rsidRPr="004D7811" w14:paraId="7572DED4" w14:textId="77777777" w:rsidTr="00AB1DC6">
        <w:trPr>
          <w:trHeight w:val="283"/>
        </w:trPr>
        <w:tc>
          <w:tcPr>
            <w:tcW w:w="6690" w:type="dxa"/>
            <w:tcBorders>
              <w:top w:val="nil"/>
              <w:left w:val="nil"/>
              <w:bottom w:val="nil"/>
              <w:right w:val="nil"/>
            </w:tcBorders>
            <w:shd w:val="clear" w:color="auto" w:fill="auto"/>
            <w:noWrap/>
            <w:vAlign w:val="bottom"/>
            <w:hideMark/>
          </w:tcPr>
          <w:p w14:paraId="4B933012" w14:textId="77777777" w:rsidR="008C676E" w:rsidRPr="00B04049" w:rsidRDefault="008C676E" w:rsidP="00AB1DC6">
            <w:pPr>
              <w:spacing w:after="0" w:line="240" w:lineRule="auto"/>
              <w:rPr>
                <w:rFonts w:ascii="Arial" w:eastAsia="Times New Roman" w:hAnsi="Arial" w:cs="Arial"/>
                <w:color w:val="000000"/>
                <w:sz w:val="20"/>
                <w:szCs w:val="20"/>
                <w:lang w:eastAsia="en-GB"/>
              </w:rPr>
            </w:pPr>
            <w:r w:rsidRPr="00B04049">
              <w:rPr>
                <w:rFonts w:ascii="Arial" w:hAnsi="Arial" w:cs="Arial"/>
                <w:sz w:val="20"/>
                <w:szCs w:val="20"/>
              </w:rPr>
              <w:t>Accruals</w:t>
            </w:r>
          </w:p>
        </w:tc>
        <w:tc>
          <w:tcPr>
            <w:tcW w:w="1531" w:type="dxa"/>
            <w:tcBorders>
              <w:top w:val="nil"/>
              <w:left w:val="nil"/>
              <w:bottom w:val="nil"/>
              <w:right w:val="nil"/>
            </w:tcBorders>
            <w:vAlign w:val="bottom"/>
          </w:tcPr>
          <w:p w14:paraId="68A7FD33"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22.4</w:t>
            </w:r>
          </w:p>
        </w:tc>
        <w:tc>
          <w:tcPr>
            <w:tcW w:w="1531" w:type="dxa"/>
            <w:tcBorders>
              <w:top w:val="nil"/>
              <w:left w:val="nil"/>
              <w:bottom w:val="nil"/>
              <w:right w:val="nil"/>
            </w:tcBorders>
            <w:shd w:val="clear" w:color="auto" w:fill="auto"/>
            <w:noWrap/>
            <w:vAlign w:val="bottom"/>
          </w:tcPr>
          <w:p w14:paraId="0FA9857E"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28.9</w:t>
            </w:r>
          </w:p>
        </w:tc>
      </w:tr>
      <w:tr w:rsidR="008C676E" w:rsidRPr="004D7811" w14:paraId="03D92950" w14:textId="77777777" w:rsidTr="00AB1DC6">
        <w:trPr>
          <w:trHeight w:val="283"/>
        </w:trPr>
        <w:tc>
          <w:tcPr>
            <w:tcW w:w="6690" w:type="dxa"/>
            <w:tcBorders>
              <w:top w:val="nil"/>
              <w:left w:val="nil"/>
              <w:bottom w:val="nil"/>
              <w:right w:val="nil"/>
            </w:tcBorders>
            <w:shd w:val="clear" w:color="auto" w:fill="auto"/>
            <w:noWrap/>
            <w:vAlign w:val="bottom"/>
            <w:hideMark/>
          </w:tcPr>
          <w:p w14:paraId="52DB63B9" w14:textId="77777777" w:rsidR="008C676E" w:rsidRPr="00B04049" w:rsidRDefault="008C676E" w:rsidP="00AB1DC6">
            <w:pPr>
              <w:spacing w:after="0" w:line="240" w:lineRule="auto"/>
              <w:rPr>
                <w:rFonts w:ascii="Arial" w:eastAsia="Times New Roman" w:hAnsi="Arial" w:cs="Arial"/>
                <w:color w:val="000000"/>
                <w:sz w:val="20"/>
                <w:szCs w:val="20"/>
                <w:lang w:eastAsia="en-GB"/>
              </w:rPr>
            </w:pPr>
            <w:r w:rsidRPr="00B04049">
              <w:rPr>
                <w:rFonts w:ascii="Arial" w:hAnsi="Arial" w:cs="Arial"/>
                <w:sz w:val="20"/>
                <w:szCs w:val="20"/>
              </w:rPr>
              <w:t>Contract liabilities</w:t>
            </w:r>
          </w:p>
        </w:tc>
        <w:tc>
          <w:tcPr>
            <w:tcW w:w="1531" w:type="dxa"/>
            <w:tcBorders>
              <w:top w:val="nil"/>
              <w:left w:val="nil"/>
              <w:bottom w:val="nil"/>
              <w:right w:val="nil"/>
            </w:tcBorders>
            <w:vAlign w:val="bottom"/>
          </w:tcPr>
          <w:p w14:paraId="458DA206"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7.5</w:t>
            </w:r>
          </w:p>
        </w:tc>
        <w:tc>
          <w:tcPr>
            <w:tcW w:w="1531" w:type="dxa"/>
            <w:tcBorders>
              <w:top w:val="nil"/>
              <w:left w:val="nil"/>
              <w:bottom w:val="nil"/>
              <w:right w:val="nil"/>
            </w:tcBorders>
            <w:shd w:val="clear" w:color="auto" w:fill="auto"/>
            <w:noWrap/>
            <w:vAlign w:val="bottom"/>
          </w:tcPr>
          <w:p w14:paraId="658D96A5"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28.7</w:t>
            </w:r>
          </w:p>
        </w:tc>
      </w:tr>
      <w:tr w:rsidR="008C676E" w:rsidRPr="004D7811" w14:paraId="18FB74D9" w14:textId="77777777" w:rsidTr="00AB1DC6">
        <w:trPr>
          <w:trHeight w:val="283"/>
        </w:trPr>
        <w:tc>
          <w:tcPr>
            <w:tcW w:w="6690" w:type="dxa"/>
            <w:tcBorders>
              <w:top w:val="nil"/>
              <w:left w:val="nil"/>
              <w:bottom w:val="nil"/>
              <w:right w:val="nil"/>
            </w:tcBorders>
            <w:shd w:val="clear" w:color="auto" w:fill="auto"/>
            <w:noWrap/>
            <w:vAlign w:val="bottom"/>
          </w:tcPr>
          <w:p w14:paraId="3D128EB8" w14:textId="77777777" w:rsidR="008C676E" w:rsidRPr="00B04049" w:rsidRDefault="008C676E" w:rsidP="00AB1DC6">
            <w:pPr>
              <w:spacing w:after="0" w:line="240" w:lineRule="auto"/>
              <w:rPr>
                <w:rFonts w:ascii="Arial" w:eastAsia="Times New Roman" w:hAnsi="Arial" w:cs="Arial"/>
                <w:color w:val="000000"/>
                <w:sz w:val="20"/>
                <w:szCs w:val="20"/>
                <w:lang w:eastAsia="en-GB"/>
              </w:rPr>
            </w:pPr>
            <w:r w:rsidRPr="00B04049">
              <w:rPr>
                <w:rFonts w:ascii="Arial" w:hAnsi="Arial" w:cs="Arial"/>
                <w:sz w:val="20"/>
                <w:szCs w:val="20"/>
              </w:rPr>
              <w:t>Contingent consideration payable in less than one year</w:t>
            </w:r>
          </w:p>
        </w:tc>
        <w:tc>
          <w:tcPr>
            <w:tcW w:w="1531" w:type="dxa"/>
            <w:tcBorders>
              <w:top w:val="nil"/>
              <w:left w:val="nil"/>
              <w:bottom w:val="nil"/>
              <w:right w:val="nil"/>
            </w:tcBorders>
            <w:vAlign w:val="bottom"/>
          </w:tcPr>
          <w:p w14:paraId="0BFA0C94"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2.8</w:t>
            </w:r>
          </w:p>
        </w:tc>
        <w:tc>
          <w:tcPr>
            <w:tcW w:w="1531" w:type="dxa"/>
            <w:tcBorders>
              <w:top w:val="nil"/>
              <w:left w:val="nil"/>
              <w:bottom w:val="nil"/>
              <w:right w:val="nil"/>
            </w:tcBorders>
            <w:shd w:val="clear" w:color="auto" w:fill="auto"/>
            <w:noWrap/>
            <w:vAlign w:val="bottom"/>
          </w:tcPr>
          <w:p w14:paraId="12C1342E"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8.0</w:t>
            </w:r>
          </w:p>
        </w:tc>
      </w:tr>
      <w:tr w:rsidR="008C676E" w:rsidRPr="004D7811" w14:paraId="4909A6CD" w14:textId="77777777" w:rsidTr="00AB1DC6">
        <w:trPr>
          <w:trHeight w:val="283"/>
        </w:trPr>
        <w:tc>
          <w:tcPr>
            <w:tcW w:w="6690" w:type="dxa"/>
            <w:tcBorders>
              <w:top w:val="single" w:sz="4" w:space="0" w:color="auto"/>
              <w:left w:val="nil"/>
              <w:bottom w:val="single" w:sz="4" w:space="0" w:color="auto"/>
              <w:right w:val="nil"/>
            </w:tcBorders>
            <w:shd w:val="clear" w:color="auto" w:fill="auto"/>
            <w:noWrap/>
            <w:vAlign w:val="bottom"/>
            <w:hideMark/>
          </w:tcPr>
          <w:p w14:paraId="01BE5BCA" w14:textId="77777777" w:rsidR="008C676E" w:rsidRPr="00B04049" w:rsidRDefault="008C676E" w:rsidP="00AB1DC6">
            <w:pPr>
              <w:spacing w:after="0" w:line="240" w:lineRule="auto"/>
              <w:rPr>
                <w:rFonts w:ascii="Arial" w:eastAsia="Times New Roman" w:hAnsi="Arial" w:cs="Arial"/>
                <w:color w:val="000000"/>
                <w:sz w:val="20"/>
                <w:szCs w:val="20"/>
                <w:lang w:eastAsia="en-GB"/>
              </w:rPr>
            </w:pPr>
            <w:r w:rsidRPr="00B04049">
              <w:rPr>
                <w:rFonts w:ascii="Arial" w:eastAsia="Times New Roman" w:hAnsi="Arial" w:cs="Arial"/>
                <w:color w:val="000000"/>
                <w:sz w:val="20"/>
                <w:szCs w:val="20"/>
                <w:lang w:eastAsia="en-GB"/>
              </w:rPr>
              <w:t> </w:t>
            </w:r>
          </w:p>
        </w:tc>
        <w:tc>
          <w:tcPr>
            <w:tcW w:w="1531" w:type="dxa"/>
            <w:tcBorders>
              <w:top w:val="single" w:sz="4" w:space="0" w:color="auto"/>
              <w:left w:val="nil"/>
              <w:bottom w:val="single" w:sz="4" w:space="0" w:color="auto"/>
              <w:right w:val="nil"/>
            </w:tcBorders>
            <w:vAlign w:val="bottom"/>
          </w:tcPr>
          <w:p w14:paraId="7ED3F546"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83.5</w:t>
            </w:r>
          </w:p>
        </w:tc>
        <w:tc>
          <w:tcPr>
            <w:tcW w:w="1531" w:type="dxa"/>
            <w:tcBorders>
              <w:top w:val="single" w:sz="4" w:space="0" w:color="auto"/>
              <w:left w:val="nil"/>
              <w:bottom w:val="single" w:sz="4" w:space="0" w:color="auto"/>
              <w:right w:val="nil"/>
            </w:tcBorders>
            <w:shd w:val="clear" w:color="auto" w:fill="auto"/>
            <w:noWrap/>
            <w:vAlign w:val="bottom"/>
          </w:tcPr>
          <w:p w14:paraId="247574AC"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123.2</w:t>
            </w:r>
          </w:p>
        </w:tc>
      </w:tr>
      <w:tr w:rsidR="008C676E" w:rsidRPr="004D7811" w14:paraId="779F8412" w14:textId="77777777" w:rsidTr="00AB1DC6">
        <w:trPr>
          <w:trHeight w:val="283"/>
        </w:trPr>
        <w:tc>
          <w:tcPr>
            <w:tcW w:w="6690" w:type="dxa"/>
            <w:tcBorders>
              <w:top w:val="single" w:sz="4" w:space="0" w:color="auto"/>
              <w:left w:val="nil"/>
              <w:right w:val="nil"/>
            </w:tcBorders>
            <w:shd w:val="clear" w:color="auto" w:fill="auto"/>
            <w:noWrap/>
            <w:vAlign w:val="bottom"/>
          </w:tcPr>
          <w:p w14:paraId="1250E8C8" w14:textId="77777777" w:rsidR="008C676E" w:rsidRPr="00B04049" w:rsidRDefault="008C676E" w:rsidP="00AB1DC6">
            <w:pPr>
              <w:spacing w:after="0" w:line="240" w:lineRule="auto"/>
              <w:rPr>
                <w:rFonts w:ascii="Arial" w:eastAsia="Times New Roman" w:hAnsi="Arial" w:cs="Arial"/>
                <w:b/>
                <w:bCs/>
                <w:color w:val="000000"/>
                <w:sz w:val="20"/>
                <w:szCs w:val="20"/>
                <w:lang w:eastAsia="en-GB"/>
              </w:rPr>
            </w:pPr>
            <w:r w:rsidRPr="00B04049">
              <w:rPr>
                <w:rFonts w:ascii="Arial" w:eastAsia="Times New Roman" w:hAnsi="Arial" w:cs="Arial"/>
                <w:b/>
                <w:bCs/>
                <w:color w:val="000000"/>
                <w:sz w:val="20"/>
                <w:szCs w:val="20"/>
                <w:lang w:eastAsia="en-GB"/>
              </w:rPr>
              <w:t>Non-current</w:t>
            </w:r>
          </w:p>
        </w:tc>
        <w:tc>
          <w:tcPr>
            <w:tcW w:w="1531" w:type="dxa"/>
            <w:tcBorders>
              <w:top w:val="single" w:sz="4" w:space="0" w:color="auto"/>
              <w:left w:val="nil"/>
              <w:right w:val="nil"/>
            </w:tcBorders>
            <w:vAlign w:val="bottom"/>
          </w:tcPr>
          <w:p w14:paraId="44FF001F"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p>
        </w:tc>
        <w:tc>
          <w:tcPr>
            <w:tcW w:w="1531" w:type="dxa"/>
            <w:tcBorders>
              <w:top w:val="single" w:sz="4" w:space="0" w:color="auto"/>
              <w:left w:val="nil"/>
              <w:right w:val="nil"/>
            </w:tcBorders>
            <w:shd w:val="clear" w:color="auto" w:fill="auto"/>
            <w:noWrap/>
            <w:vAlign w:val="bottom"/>
          </w:tcPr>
          <w:p w14:paraId="05B47956"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p>
        </w:tc>
      </w:tr>
      <w:tr w:rsidR="008C676E" w:rsidRPr="004D7811" w14:paraId="69B6986D" w14:textId="77777777" w:rsidTr="00AB1DC6">
        <w:trPr>
          <w:trHeight w:val="283"/>
        </w:trPr>
        <w:tc>
          <w:tcPr>
            <w:tcW w:w="6690" w:type="dxa"/>
            <w:tcBorders>
              <w:left w:val="nil"/>
              <w:bottom w:val="single" w:sz="4" w:space="0" w:color="auto"/>
              <w:right w:val="nil"/>
            </w:tcBorders>
            <w:shd w:val="clear" w:color="auto" w:fill="auto"/>
            <w:noWrap/>
            <w:vAlign w:val="bottom"/>
          </w:tcPr>
          <w:p w14:paraId="3D9AB0B5" w14:textId="77777777" w:rsidR="008C676E" w:rsidRPr="00B04049" w:rsidRDefault="008C676E" w:rsidP="00AB1DC6">
            <w:pPr>
              <w:spacing w:after="0" w:line="240" w:lineRule="auto"/>
              <w:rPr>
                <w:rFonts w:ascii="Arial" w:eastAsia="Times New Roman" w:hAnsi="Arial" w:cs="Arial"/>
                <w:color w:val="000000"/>
                <w:sz w:val="20"/>
                <w:szCs w:val="20"/>
                <w:lang w:eastAsia="en-GB"/>
              </w:rPr>
            </w:pPr>
            <w:r w:rsidRPr="00B04049">
              <w:rPr>
                <w:rFonts w:ascii="Arial" w:eastAsia="Times New Roman" w:hAnsi="Arial" w:cs="Arial"/>
                <w:color w:val="000000"/>
                <w:sz w:val="20"/>
                <w:szCs w:val="20"/>
                <w:lang w:eastAsia="en-GB"/>
              </w:rPr>
              <w:t>Contingent consideration payable in one to three years</w:t>
            </w:r>
          </w:p>
        </w:tc>
        <w:tc>
          <w:tcPr>
            <w:tcW w:w="1531" w:type="dxa"/>
            <w:tcBorders>
              <w:left w:val="nil"/>
              <w:bottom w:val="single" w:sz="4" w:space="0" w:color="auto"/>
              <w:right w:val="nil"/>
            </w:tcBorders>
            <w:vAlign w:val="bottom"/>
          </w:tcPr>
          <w:p w14:paraId="7279E77E"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0.7</w:t>
            </w:r>
          </w:p>
        </w:tc>
        <w:tc>
          <w:tcPr>
            <w:tcW w:w="1531" w:type="dxa"/>
            <w:tcBorders>
              <w:left w:val="nil"/>
              <w:bottom w:val="single" w:sz="4" w:space="0" w:color="auto"/>
              <w:right w:val="nil"/>
            </w:tcBorders>
            <w:shd w:val="clear" w:color="auto" w:fill="auto"/>
            <w:noWrap/>
            <w:vAlign w:val="bottom"/>
          </w:tcPr>
          <w:p w14:paraId="49B2C183"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12.0</w:t>
            </w:r>
          </w:p>
        </w:tc>
      </w:tr>
      <w:tr w:rsidR="008C676E" w:rsidRPr="004D7811" w14:paraId="7A7B0280" w14:textId="77777777" w:rsidTr="00AB1DC6">
        <w:trPr>
          <w:trHeight w:val="283"/>
        </w:trPr>
        <w:tc>
          <w:tcPr>
            <w:tcW w:w="6690" w:type="dxa"/>
            <w:tcBorders>
              <w:top w:val="single" w:sz="4" w:space="0" w:color="auto"/>
              <w:left w:val="nil"/>
              <w:bottom w:val="double" w:sz="4" w:space="0" w:color="auto"/>
              <w:right w:val="nil"/>
            </w:tcBorders>
            <w:shd w:val="clear" w:color="auto" w:fill="auto"/>
            <w:noWrap/>
            <w:vAlign w:val="bottom"/>
          </w:tcPr>
          <w:p w14:paraId="1D0285A3" w14:textId="77777777" w:rsidR="008C676E" w:rsidRPr="00B04049" w:rsidRDefault="008C676E" w:rsidP="00AB1DC6">
            <w:pPr>
              <w:spacing w:after="0" w:line="240" w:lineRule="auto"/>
              <w:rPr>
                <w:rFonts w:ascii="Arial" w:eastAsia="Times New Roman" w:hAnsi="Arial" w:cs="Arial"/>
                <w:color w:val="000000"/>
                <w:sz w:val="20"/>
                <w:szCs w:val="20"/>
                <w:lang w:eastAsia="en-GB"/>
              </w:rPr>
            </w:pPr>
          </w:p>
        </w:tc>
        <w:tc>
          <w:tcPr>
            <w:tcW w:w="1531" w:type="dxa"/>
            <w:tcBorders>
              <w:top w:val="single" w:sz="4" w:space="0" w:color="auto"/>
              <w:left w:val="nil"/>
              <w:bottom w:val="double" w:sz="4" w:space="0" w:color="auto"/>
              <w:right w:val="nil"/>
            </w:tcBorders>
            <w:vAlign w:val="bottom"/>
          </w:tcPr>
          <w:p w14:paraId="04CD713F" w14:textId="77777777" w:rsidR="008C676E" w:rsidRPr="008405DC"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0.7</w:t>
            </w:r>
          </w:p>
        </w:tc>
        <w:tc>
          <w:tcPr>
            <w:tcW w:w="1531" w:type="dxa"/>
            <w:tcBorders>
              <w:top w:val="single" w:sz="4" w:space="0" w:color="auto"/>
              <w:left w:val="nil"/>
              <w:bottom w:val="double" w:sz="4" w:space="0" w:color="auto"/>
              <w:right w:val="nil"/>
            </w:tcBorders>
            <w:shd w:val="clear" w:color="auto" w:fill="auto"/>
            <w:noWrap/>
            <w:vAlign w:val="bottom"/>
          </w:tcPr>
          <w:p w14:paraId="587E25BF" w14:textId="77777777" w:rsidR="008C676E" w:rsidRPr="002B080B" w:rsidRDefault="008C676E" w:rsidP="00AB1DC6">
            <w:pPr>
              <w:spacing w:after="0" w:line="240" w:lineRule="auto"/>
              <w:jc w:val="right"/>
              <w:rPr>
                <w:rFonts w:ascii="Arial" w:eastAsia="Times New Roman" w:hAnsi="Arial" w:cs="Arial"/>
                <w:color w:val="000000"/>
                <w:sz w:val="20"/>
                <w:szCs w:val="20"/>
                <w:lang w:eastAsia="en-GB"/>
              </w:rPr>
            </w:pPr>
            <w:r w:rsidRPr="002B080B">
              <w:rPr>
                <w:rFonts w:ascii="Arial" w:eastAsia="Times New Roman" w:hAnsi="Arial" w:cs="Arial"/>
                <w:color w:val="000000"/>
                <w:sz w:val="20"/>
                <w:szCs w:val="20"/>
                <w:lang w:eastAsia="en-GB"/>
              </w:rPr>
              <w:t>12.0</w:t>
            </w:r>
          </w:p>
        </w:tc>
      </w:tr>
    </w:tbl>
    <w:p w14:paraId="5C1BDAD7" w14:textId="77777777" w:rsidR="008C676E" w:rsidRPr="004D7811" w:rsidRDefault="008C676E" w:rsidP="008C676E">
      <w:pPr>
        <w:spacing w:after="0"/>
        <w:rPr>
          <w:rFonts w:ascii="Arial" w:eastAsia="Times New Roman" w:hAnsi="Arial" w:cs="Arial"/>
          <w:b/>
          <w:bCs/>
          <w:color w:val="000000"/>
          <w:sz w:val="20"/>
          <w:szCs w:val="20"/>
          <w:highlight w:val="yellow"/>
          <w:lang w:eastAsia="en-GB"/>
        </w:rPr>
      </w:pPr>
    </w:p>
    <w:p w14:paraId="33A74B24" w14:textId="5A890A8D" w:rsidR="008C676E" w:rsidRPr="005166D3" w:rsidRDefault="008C676E" w:rsidP="008C676E">
      <w:pPr>
        <w:spacing w:after="0"/>
        <w:jc w:val="both"/>
        <w:rPr>
          <w:rFonts w:ascii="Arial" w:eastAsia="Times New Roman" w:hAnsi="Arial" w:cs="Arial"/>
          <w:color w:val="000000"/>
          <w:sz w:val="20"/>
          <w:szCs w:val="20"/>
          <w:lang w:eastAsia="en-GB"/>
        </w:rPr>
      </w:pPr>
      <w:r w:rsidRPr="005166D3">
        <w:rPr>
          <w:rFonts w:ascii="Arial" w:eastAsia="Times New Roman" w:hAnsi="Arial" w:cs="Arial"/>
          <w:color w:val="000000"/>
          <w:sz w:val="20"/>
          <w:szCs w:val="20"/>
          <w:lang w:eastAsia="en-GB"/>
        </w:rPr>
        <w:t xml:space="preserve">Trade and other payables principally comprise amounts outstanding for trade purchases, ongoing costs and contingent consideration. Included within </w:t>
      </w:r>
      <w:r w:rsidRPr="0028704E">
        <w:rPr>
          <w:rFonts w:ascii="Arial" w:eastAsia="Times New Roman" w:hAnsi="Arial" w:cs="Arial"/>
          <w:color w:val="000000"/>
          <w:sz w:val="20"/>
          <w:szCs w:val="20"/>
          <w:lang w:eastAsia="en-GB"/>
        </w:rPr>
        <w:t xml:space="preserve">accruals is </w:t>
      </w:r>
      <w:r w:rsidRPr="00A43702">
        <w:rPr>
          <w:rFonts w:ascii="Arial" w:eastAsia="Times New Roman" w:hAnsi="Arial" w:cs="Arial"/>
          <w:color w:val="000000"/>
          <w:sz w:val="20"/>
          <w:szCs w:val="20"/>
          <w:lang w:eastAsia="en-GB"/>
        </w:rPr>
        <w:t>£</w:t>
      </w:r>
      <w:r w:rsidRPr="0028704E">
        <w:rPr>
          <w:rFonts w:ascii="Arial" w:eastAsia="Times New Roman" w:hAnsi="Arial" w:cs="Arial"/>
          <w:color w:val="000000"/>
          <w:sz w:val="20"/>
          <w:szCs w:val="20"/>
          <w:lang w:eastAsia="en-GB"/>
        </w:rPr>
        <w:t xml:space="preserve">9.9m (2023: £8.6m) in respect of </w:t>
      </w:r>
      <w:proofErr w:type="gramStart"/>
      <w:r w:rsidRPr="0028704E">
        <w:rPr>
          <w:rFonts w:ascii="Arial" w:eastAsia="Times New Roman" w:hAnsi="Arial" w:cs="Arial"/>
          <w:color w:val="000000"/>
          <w:sz w:val="20"/>
          <w:szCs w:val="20"/>
          <w:lang w:eastAsia="en-GB"/>
        </w:rPr>
        <w:t>Long Term</w:t>
      </w:r>
      <w:proofErr w:type="gramEnd"/>
      <w:r w:rsidRPr="0028704E">
        <w:rPr>
          <w:rFonts w:ascii="Arial" w:eastAsia="Times New Roman" w:hAnsi="Arial" w:cs="Arial"/>
          <w:color w:val="000000"/>
          <w:sz w:val="20"/>
          <w:szCs w:val="20"/>
          <w:lang w:eastAsia="en-GB"/>
        </w:rPr>
        <w:t xml:space="preserve"> Incentive Plans</w:t>
      </w:r>
      <w:r w:rsidR="008A1149">
        <w:rPr>
          <w:rFonts w:ascii="Arial" w:eastAsia="Times New Roman" w:hAnsi="Arial" w:cs="Arial"/>
          <w:color w:val="000000"/>
          <w:sz w:val="20"/>
          <w:szCs w:val="20"/>
          <w:lang w:eastAsia="en-GB"/>
        </w:rPr>
        <w:t>.</w:t>
      </w:r>
    </w:p>
    <w:p w14:paraId="33FA602C" w14:textId="77777777" w:rsidR="008C676E" w:rsidRPr="00EB5AFF" w:rsidRDefault="008C676E" w:rsidP="008C676E">
      <w:pPr>
        <w:spacing w:after="0"/>
        <w:rPr>
          <w:rFonts w:ascii="Arial" w:eastAsia="Times New Roman" w:hAnsi="Arial" w:cs="Arial"/>
          <w:color w:val="000000"/>
          <w:sz w:val="20"/>
          <w:szCs w:val="20"/>
          <w:lang w:eastAsia="en-GB"/>
        </w:rPr>
      </w:pPr>
    </w:p>
    <w:p w14:paraId="27484563" w14:textId="77777777" w:rsidR="008C676E" w:rsidRPr="00EB5AFF" w:rsidRDefault="008C676E" w:rsidP="008C676E">
      <w:pPr>
        <w:spacing w:after="0"/>
        <w:rPr>
          <w:rFonts w:ascii="Arial" w:eastAsia="Times New Roman" w:hAnsi="Arial" w:cs="Arial"/>
          <w:color w:val="000000"/>
          <w:sz w:val="20"/>
          <w:szCs w:val="20"/>
          <w:lang w:eastAsia="en-GB"/>
        </w:rPr>
      </w:pPr>
      <w:r w:rsidRPr="00EB5AFF">
        <w:rPr>
          <w:rFonts w:ascii="Arial" w:eastAsia="Times New Roman" w:hAnsi="Arial" w:cs="Arial"/>
          <w:color w:val="000000"/>
          <w:sz w:val="20"/>
          <w:szCs w:val="20"/>
          <w:lang w:eastAsia="en-GB"/>
        </w:rPr>
        <w:t>Contingent consideration consists of the following amounts payable in respect of previous acquisitions:</w:t>
      </w:r>
    </w:p>
    <w:tbl>
      <w:tblPr>
        <w:tblW w:w="9752" w:type="dxa"/>
        <w:tblLook w:val="04A0" w:firstRow="1" w:lastRow="0" w:firstColumn="1" w:lastColumn="0" w:noHBand="0" w:noVBand="1"/>
      </w:tblPr>
      <w:tblGrid>
        <w:gridCol w:w="6690"/>
        <w:gridCol w:w="1531"/>
        <w:gridCol w:w="1531"/>
      </w:tblGrid>
      <w:tr w:rsidR="008C676E" w:rsidRPr="004D7811" w14:paraId="6ADF59B4" w14:textId="77777777" w:rsidTr="00AB1DC6">
        <w:trPr>
          <w:trHeight w:val="283"/>
        </w:trPr>
        <w:tc>
          <w:tcPr>
            <w:tcW w:w="6690" w:type="dxa"/>
            <w:tcBorders>
              <w:top w:val="nil"/>
              <w:left w:val="nil"/>
              <w:bottom w:val="nil"/>
              <w:right w:val="nil"/>
            </w:tcBorders>
            <w:shd w:val="clear" w:color="auto" w:fill="auto"/>
            <w:noWrap/>
            <w:vAlign w:val="bottom"/>
            <w:hideMark/>
          </w:tcPr>
          <w:p w14:paraId="1A9AB2CB" w14:textId="77777777" w:rsidR="008C676E" w:rsidRPr="00CA2882" w:rsidRDefault="008C676E" w:rsidP="00AB1DC6">
            <w:pPr>
              <w:spacing w:after="0" w:line="240" w:lineRule="auto"/>
              <w:jc w:val="right"/>
              <w:rPr>
                <w:rFonts w:ascii="Arial" w:eastAsia="Times New Roman" w:hAnsi="Arial" w:cs="Arial"/>
                <w:sz w:val="20"/>
                <w:szCs w:val="20"/>
                <w:lang w:eastAsia="en-GB"/>
              </w:rPr>
            </w:pPr>
          </w:p>
        </w:tc>
        <w:tc>
          <w:tcPr>
            <w:tcW w:w="1531" w:type="dxa"/>
            <w:tcBorders>
              <w:top w:val="nil"/>
              <w:left w:val="nil"/>
              <w:bottom w:val="nil"/>
              <w:right w:val="nil"/>
            </w:tcBorders>
            <w:vAlign w:val="bottom"/>
          </w:tcPr>
          <w:p w14:paraId="3BC9E8B1" w14:textId="77777777" w:rsidR="008C676E" w:rsidRPr="00E6627F" w:rsidRDefault="008C676E" w:rsidP="00AB1DC6">
            <w:pPr>
              <w:spacing w:after="0" w:line="240" w:lineRule="auto"/>
              <w:jc w:val="right"/>
              <w:rPr>
                <w:rFonts w:ascii="Arial" w:eastAsia="Times New Roman" w:hAnsi="Arial" w:cs="Arial"/>
                <w:b/>
                <w:bCs/>
                <w:color w:val="000000"/>
                <w:sz w:val="20"/>
                <w:szCs w:val="20"/>
                <w:lang w:eastAsia="en-GB"/>
              </w:rPr>
            </w:pPr>
            <w:r w:rsidRPr="00E6627F">
              <w:rPr>
                <w:rFonts w:ascii="Arial" w:eastAsia="Times New Roman" w:hAnsi="Arial" w:cs="Arial"/>
                <w:b/>
                <w:bCs/>
                <w:color w:val="000000"/>
                <w:sz w:val="20"/>
                <w:szCs w:val="20"/>
                <w:lang w:eastAsia="en-GB"/>
              </w:rPr>
              <w:t>2024</w:t>
            </w:r>
          </w:p>
        </w:tc>
        <w:tc>
          <w:tcPr>
            <w:tcW w:w="1531" w:type="dxa"/>
            <w:tcBorders>
              <w:top w:val="nil"/>
              <w:left w:val="nil"/>
              <w:bottom w:val="nil"/>
              <w:right w:val="nil"/>
            </w:tcBorders>
            <w:shd w:val="clear" w:color="auto" w:fill="auto"/>
            <w:vAlign w:val="bottom"/>
            <w:hideMark/>
          </w:tcPr>
          <w:p w14:paraId="4BF0AB10" w14:textId="77777777" w:rsidR="008C676E" w:rsidRPr="00E6627F" w:rsidRDefault="008C676E" w:rsidP="00AB1DC6">
            <w:pPr>
              <w:spacing w:after="0" w:line="240" w:lineRule="auto"/>
              <w:jc w:val="right"/>
              <w:rPr>
                <w:rFonts w:ascii="Arial" w:eastAsia="Times New Roman" w:hAnsi="Arial" w:cs="Arial"/>
                <w:b/>
                <w:bCs/>
                <w:color w:val="000000"/>
                <w:sz w:val="20"/>
                <w:szCs w:val="20"/>
                <w:lang w:eastAsia="en-GB"/>
              </w:rPr>
            </w:pPr>
            <w:r w:rsidRPr="00E6627F">
              <w:rPr>
                <w:rFonts w:ascii="Arial" w:eastAsia="Times New Roman" w:hAnsi="Arial" w:cs="Arial"/>
                <w:b/>
                <w:bCs/>
                <w:color w:val="000000"/>
                <w:sz w:val="20"/>
                <w:szCs w:val="20"/>
                <w:lang w:eastAsia="en-GB"/>
              </w:rPr>
              <w:t>2023</w:t>
            </w:r>
          </w:p>
        </w:tc>
      </w:tr>
      <w:tr w:rsidR="008C676E" w:rsidRPr="004D7811" w14:paraId="5AAE3FAF" w14:textId="77777777" w:rsidTr="00AB1DC6">
        <w:trPr>
          <w:trHeight w:val="283"/>
        </w:trPr>
        <w:tc>
          <w:tcPr>
            <w:tcW w:w="6690" w:type="dxa"/>
            <w:tcBorders>
              <w:top w:val="nil"/>
              <w:left w:val="nil"/>
              <w:bottom w:val="single" w:sz="4" w:space="0" w:color="auto"/>
              <w:right w:val="nil"/>
            </w:tcBorders>
            <w:shd w:val="clear" w:color="auto" w:fill="auto"/>
            <w:noWrap/>
            <w:vAlign w:val="bottom"/>
            <w:hideMark/>
          </w:tcPr>
          <w:p w14:paraId="158146E1" w14:textId="77777777" w:rsidR="008C676E" w:rsidRPr="00CA2882" w:rsidRDefault="008C676E" w:rsidP="00AB1DC6">
            <w:pPr>
              <w:spacing w:after="0" w:line="240" w:lineRule="auto"/>
              <w:jc w:val="right"/>
              <w:rPr>
                <w:rFonts w:ascii="Arial" w:eastAsia="Times New Roman" w:hAnsi="Arial" w:cs="Arial"/>
                <w:color w:val="000000"/>
                <w:sz w:val="20"/>
                <w:szCs w:val="20"/>
                <w:lang w:eastAsia="en-GB"/>
              </w:rPr>
            </w:pPr>
          </w:p>
        </w:tc>
        <w:tc>
          <w:tcPr>
            <w:tcW w:w="1531" w:type="dxa"/>
            <w:tcBorders>
              <w:top w:val="nil"/>
              <w:left w:val="nil"/>
              <w:bottom w:val="single" w:sz="4" w:space="0" w:color="auto"/>
              <w:right w:val="nil"/>
            </w:tcBorders>
            <w:vAlign w:val="bottom"/>
          </w:tcPr>
          <w:p w14:paraId="1B88DC37" w14:textId="77777777" w:rsidR="008C676E" w:rsidRPr="00E6627F" w:rsidRDefault="008C676E" w:rsidP="00AB1DC6">
            <w:pPr>
              <w:spacing w:after="0" w:line="240" w:lineRule="auto"/>
              <w:jc w:val="right"/>
              <w:rPr>
                <w:rFonts w:ascii="Arial" w:eastAsia="Times New Roman" w:hAnsi="Arial" w:cs="Arial"/>
                <w:b/>
                <w:bCs/>
                <w:color w:val="000000"/>
                <w:sz w:val="20"/>
                <w:szCs w:val="20"/>
                <w:lang w:eastAsia="en-GB"/>
              </w:rPr>
            </w:pPr>
            <w:r w:rsidRPr="00E6627F">
              <w:rPr>
                <w:rFonts w:ascii="Arial" w:eastAsia="Times New Roman" w:hAnsi="Arial" w:cs="Arial"/>
                <w:b/>
                <w:bCs/>
                <w:color w:val="000000"/>
                <w:sz w:val="20"/>
                <w:szCs w:val="20"/>
                <w:lang w:eastAsia="en-GB"/>
              </w:rPr>
              <w:t>£'m</w:t>
            </w:r>
          </w:p>
        </w:tc>
        <w:tc>
          <w:tcPr>
            <w:tcW w:w="1531" w:type="dxa"/>
            <w:tcBorders>
              <w:top w:val="nil"/>
              <w:left w:val="nil"/>
              <w:bottom w:val="single" w:sz="4" w:space="0" w:color="auto"/>
              <w:right w:val="nil"/>
            </w:tcBorders>
            <w:shd w:val="clear" w:color="auto" w:fill="auto"/>
            <w:noWrap/>
            <w:vAlign w:val="bottom"/>
            <w:hideMark/>
          </w:tcPr>
          <w:p w14:paraId="6C74DF7A" w14:textId="77777777" w:rsidR="008C676E" w:rsidRPr="00E6627F" w:rsidRDefault="008C676E" w:rsidP="00AB1DC6">
            <w:pPr>
              <w:spacing w:after="0" w:line="240" w:lineRule="auto"/>
              <w:jc w:val="right"/>
              <w:rPr>
                <w:rFonts w:ascii="Arial" w:eastAsia="Times New Roman" w:hAnsi="Arial" w:cs="Arial"/>
                <w:b/>
                <w:bCs/>
                <w:color w:val="000000"/>
                <w:sz w:val="20"/>
                <w:szCs w:val="20"/>
                <w:lang w:eastAsia="en-GB"/>
              </w:rPr>
            </w:pPr>
            <w:r w:rsidRPr="00E6627F">
              <w:rPr>
                <w:rFonts w:ascii="Arial" w:eastAsia="Times New Roman" w:hAnsi="Arial" w:cs="Arial"/>
                <w:b/>
                <w:bCs/>
                <w:color w:val="000000"/>
                <w:sz w:val="20"/>
                <w:szCs w:val="20"/>
                <w:lang w:eastAsia="en-GB"/>
              </w:rPr>
              <w:t>£'m</w:t>
            </w:r>
          </w:p>
        </w:tc>
      </w:tr>
      <w:tr w:rsidR="008C676E" w:rsidRPr="004D7811" w14:paraId="78CA44FF" w14:textId="77777777" w:rsidTr="00AB1DC6">
        <w:trPr>
          <w:trHeight w:val="283"/>
        </w:trPr>
        <w:tc>
          <w:tcPr>
            <w:tcW w:w="6690" w:type="dxa"/>
            <w:tcBorders>
              <w:top w:val="single" w:sz="4" w:space="0" w:color="auto"/>
              <w:left w:val="nil"/>
              <w:right w:val="nil"/>
            </w:tcBorders>
            <w:shd w:val="clear" w:color="auto" w:fill="auto"/>
            <w:noWrap/>
            <w:hideMark/>
          </w:tcPr>
          <w:p w14:paraId="69CDF9DC" w14:textId="77777777" w:rsidR="008C676E" w:rsidRPr="00CA2882" w:rsidRDefault="008C676E" w:rsidP="00AB1DC6">
            <w:pPr>
              <w:spacing w:after="0" w:line="240" w:lineRule="auto"/>
              <w:rPr>
                <w:rFonts w:ascii="Arial" w:eastAsia="Times New Roman" w:hAnsi="Arial" w:cs="Arial"/>
                <w:color w:val="000000"/>
                <w:sz w:val="20"/>
                <w:szCs w:val="20"/>
                <w:lang w:eastAsia="en-GB"/>
              </w:rPr>
            </w:pPr>
            <w:r w:rsidRPr="00CA2882">
              <w:rPr>
                <w:rFonts w:ascii="Arial" w:hAnsi="Arial" w:cs="Arial"/>
                <w:sz w:val="20"/>
                <w:szCs w:val="20"/>
              </w:rPr>
              <w:t>Core Stream </w:t>
            </w:r>
          </w:p>
        </w:tc>
        <w:tc>
          <w:tcPr>
            <w:tcW w:w="1531" w:type="dxa"/>
            <w:tcBorders>
              <w:top w:val="single" w:sz="4" w:space="0" w:color="auto"/>
              <w:left w:val="nil"/>
              <w:right w:val="nil"/>
            </w:tcBorders>
          </w:tcPr>
          <w:p w14:paraId="1DF74C3C" w14:textId="77777777" w:rsidR="008C676E" w:rsidRPr="00E6627F" w:rsidRDefault="008C676E"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c>
          <w:tcPr>
            <w:tcW w:w="1531" w:type="dxa"/>
            <w:tcBorders>
              <w:top w:val="single" w:sz="4" w:space="0" w:color="auto"/>
              <w:left w:val="nil"/>
              <w:right w:val="nil"/>
            </w:tcBorders>
            <w:shd w:val="clear" w:color="auto" w:fill="auto"/>
            <w:noWrap/>
          </w:tcPr>
          <w:p w14:paraId="33344F12" w14:textId="77777777" w:rsidR="008C676E" w:rsidRPr="00E6627F" w:rsidRDefault="008C676E" w:rsidP="00AB1DC6">
            <w:pPr>
              <w:spacing w:after="0" w:line="240" w:lineRule="auto"/>
              <w:jc w:val="right"/>
              <w:rPr>
                <w:rFonts w:ascii="Arial" w:eastAsia="Times New Roman" w:hAnsi="Arial" w:cs="Arial"/>
                <w:color w:val="000000"/>
                <w:sz w:val="20"/>
                <w:szCs w:val="20"/>
                <w:lang w:eastAsia="en-GB"/>
              </w:rPr>
            </w:pPr>
            <w:r w:rsidRPr="00E6627F">
              <w:rPr>
                <w:rFonts w:ascii="Arial" w:eastAsia="Times New Roman" w:hAnsi="Arial" w:cs="Arial"/>
                <w:color w:val="000000"/>
                <w:sz w:val="20"/>
                <w:szCs w:val="20"/>
                <w:lang w:eastAsia="en-GB"/>
              </w:rPr>
              <w:t>12.0</w:t>
            </w:r>
          </w:p>
        </w:tc>
      </w:tr>
      <w:tr w:rsidR="008C676E" w:rsidRPr="004D7811" w14:paraId="30F7AD89" w14:textId="77777777" w:rsidTr="00AB1DC6">
        <w:trPr>
          <w:trHeight w:val="283"/>
        </w:trPr>
        <w:tc>
          <w:tcPr>
            <w:tcW w:w="6690" w:type="dxa"/>
            <w:tcBorders>
              <w:left w:val="nil"/>
              <w:right w:val="nil"/>
            </w:tcBorders>
            <w:shd w:val="clear" w:color="auto" w:fill="auto"/>
            <w:noWrap/>
            <w:hideMark/>
          </w:tcPr>
          <w:p w14:paraId="02C5D437" w14:textId="77777777" w:rsidR="008C676E" w:rsidRPr="00CA2882" w:rsidRDefault="008C676E" w:rsidP="00AB1DC6">
            <w:pPr>
              <w:spacing w:after="0" w:line="240" w:lineRule="auto"/>
              <w:rPr>
                <w:rFonts w:ascii="Arial" w:eastAsia="Times New Roman" w:hAnsi="Arial" w:cs="Arial"/>
                <w:color w:val="000000"/>
                <w:sz w:val="20"/>
                <w:szCs w:val="20"/>
                <w:lang w:eastAsia="en-GB"/>
              </w:rPr>
            </w:pPr>
            <w:proofErr w:type="spellStart"/>
            <w:r w:rsidRPr="00CA2882">
              <w:rPr>
                <w:rFonts w:ascii="Arial" w:hAnsi="Arial" w:cs="Arial"/>
                <w:sz w:val="20"/>
                <w:szCs w:val="20"/>
              </w:rPr>
              <w:t>VinciWorks</w:t>
            </w:r>
            <w:proofErr w:type="spellEnd"/>
          </w:p>
        </w:tc>
        <w:tc>
          <w:tcPr>
            <w:tcW w:w="1531" w:type="dxa"/>
            <w:tcBorders>
              <w:left w:val="nil"/>
              <w:right w:val="nil"/>
            </w:tcBorders>
          </w:tcPr>
          <w:p w14:paraId="7A6AF2E8" w14:textId="77777777" w:rsidR="008C676E" w:rsidRPr="00E6627F" w:rsidRDefault="008C676E" w:rsidP="00AB1DC6">
            <w:pPr>
              <w:spacing w:after="0" w:line="240" w:lineRule="auto"/>
              <w:jc w:val="right"/>
              <w:rPr>
                <w:rFonts w:ascii="Arial" w:hAnsi="Arial" w:cs="Arial"/>
                <w:b/>
                <w:bCs/>
                <w:sz w:val="20"/>
                <w:szCs w:val="20"/>
              </w:rPr>
            </w:pPr>
            <w:r>
              <w:rPr>
                <w:rFonts w:ascii="Arial" w:hAnsi="Arial" w:cs="Arial"/>
                <w:b/>
                <w:bCs/>
                <w:sz w:val="20"/>
                <w:szCs w:val="20"/>
              </w:rPr>
              <w:t>-</w:t>
            </w:r>
          </w:p>
        </w:tc>
        <w:tc>
          <w:tcPr>
            <w:tcW w:w="1531" w:type="dxa"/>
            <w:tcBorders>
              <w:left w:val="nil"/>
              <w:right w:val="nil"/>
            </w:tcBorders>
            <w:shd w:val="clear" w:color="auto" w:fill="auto"/>
            <w:noWrap/>
          </w:tcPr>
          <w:p w14:paraId="73F59F93" w14:textId="77777777" w:rsidR="008C676E" w:rsidRPr="00E6627F" w:rsidRDefault="008C676E" w:rsidP="00AB1DC6">
            <w:pPr>
              <w:spacing w:after="0" w:line="240" w:lineRule="auto"/>
              <w:jc w:val="right"/>
              <w:rPr>
                <w:rFonts w:ascii="Arial" w:eastAsia="Times New Roman" w:hAnsi="Arial" w:cs="Arial"/>
                <w:color w:val="000000"/>
                <w:sz w:val="20"/>
                <w:szCs w:val="20"/>
                <w:lang w:eastAsia="en-GB"/>
              </w:rPr>
            </w:pPr>
            <w:r w:rsidRPr="00E6627F">
              <w:rPr>
                <w:rFonts w:ascii="Arial" w:eastAsia="Times New Roman" w:hAnsi="Arial" w:cs="Arial"/>
                <w:color w:val="000000"/>
                <w:sz w:val="20"/>
                <w:szCs w:val="20"/>
                <w:lang w:eastAsia="en-GB"/>
              </w:rPr>
              <w:t>1.8</w:t>
            </w:r>
          </w:p>
        </w:tc>
      </w:tr>
      <w:tr w:rsidR="008C676E" w:rsidRPr="004D7811" w14:paraId="6D8AF945" w14:textId="77777777" w:rsidTr="00AB1DC6">
        <w:trPr>
          <w:trHeight w:val="283"/>
        </w:trPr>
        <w:tc>
          <w:tcPr>
            <w:tcW w:w="6690" w:type="dxa"/>
            <w:tcBorders>
              <w:left w:val="nil"/>
              <w:right w:val="nil"/>
            </w:tcBorders>
            <w:shd w:val="clear" w:color="auto" w:fill="auto"/>
            <w:noWrap/>
          </w:tcPr>
          <w:p w14:paraId="28C9203C" w14:textId="77777777" w:rsidR="008C676E" w:rsidRPr="00CA2882" w:rsidRDefault="008C676E" w:rsidP="00AB1DC6">
            <w:pPr>
              <w:spacing w:after="0" w:line="240" w:lineRule="auto"/>
              <w:rPr>
                <w:rFonts w:ascii="Arial" w:hAnsi="Arial" w:cs="Arial"/>
                <w:sz w:val="20"/>
                <w:szCs w:val="20"/>
              </w:rPr>
            </w:pPr>
            <w:r w:rsidRPr="00CA2882">
              <w:rPr>
                <w:rFonts w:ascii="Arial" w:hAnsi="Arial" w:cs="Arial"/>
                <w:sz w:val="20"/>
                <w:szCs w:val="20"/>
              </w:rPr>
              <w:t>Skill Boosters</w:t>
            </w:r>
          </w:p>
        </w:tc>
        <w:tc>
          <w:tcPr>
            <w:tcW w:w="1531" w:type="dxa"/>
            <w:tcBorders>
              <w:left w:val="nil"/>
              <w:right w:val="nil"/>
            </w:tcBorders>
          </w:tcPr>
          <w:p w14:paraId="46E671DE" w14:textId="77777777" w:rsidR="008C676E" w:rsidRPr="00E6627F" w:rsidRDefault="008C676E" w:rsidP="00AB1DC6">
            <w:pPr>
              <w:spacing w:after="0" w:line="240" w:lineRule="auto"/>
              <w:jc w:val="right"/>
              <w:rPr>
                <w:rFonts w:ascii="Arial" w:hAnsi="Arial" w:cs="Arial"/>
                <w:b/>
                <w:bCs/>
                <w:sz w:val="20"/>
                <w:szCs w:val="20"/>
              </w:rPr>
            </w:pPr>
            <w:r>
              <w:rPr>
                <w:rFonts w:ascii="Arial" w:hAnsi="Arial" w:cs="Arial"/>
                <w:b/>
                <w:bCs/>
                <w:sz w:val="20"/>
                <w:szCs w:val="20"/>
              </w:rPr>
              <w:t>-</w:t>
            </w:r>
          </w:p>
        </w:tc>
        <w:tc>
          <w:tcPr>
            <w:tcW w:w="1531" w:type="dxa"/>
            <w:tcBorders>
              <w:left w:val="nil"/>
              <w:right w:val="nil"/>
            </w:tcBorders>
            <w:shd w:val="clear" w:color="auto" w:fill="auto"/>
            <w:noWrap/>
          </w:tcPr>
          <w:p w14:paraId="11AB23D9" w14:textId="77777777" w:rsidR="008C676E" w:rsidRPr="00E6627F" w:rsidRDefault="008C676E" w:rsidP="00AB1DC6">
            <w:pPr>
              <w:spacing w:after="0" w:line="240" w:lineRule="auto"/>
              <w:jc w:val="right"/>
              <w:rPr>
                <w:rFonts w:ascii="Arial" w:eastAsia="Times New Roman" w:hAnsi="Arial" w:cs="Arial"/>
                <w:color w:val="000000"/>
                <w:sz w:val="20"/>
                <w:szCs w:val="20"/>
                <w:lang w:eastAsia="en-GB"/>
              </w:rPr>
            </w:pPr>
            <w:r w:rsidRPr="00E6627F">
              <w:rPr>
                <w:rFonts w:ascii="Arial" w:eastAsia="Times New Roman" w:hAnsi="Arial" w:cs="Arial"/>
                <w:color w:val="000000"/>
                <w:sz w:val="20"/>
                <w:szCs w:val="20"/>
                <w:lang w:eastAsia="en-GB"/>
              </w:rPr>
              <w:t>1.5</w:t>
            </w:r>
          </w:p>
        </w:tc>
      </w:tr>
      <w:tr w:rsidR="008C676E" w:rsidRPr="004D7811" w14:paraId="4E40C529" w14:textId="77777777" w:rsidTr="00AB1DC6">
        <w:trPr>
          <w:trHeight w:val="283"/>
        </w:trPr>
        <w:tc>
          <w:tcPr>
            <w:tcW w:w="6690" w:type="dxa"/>
            <w:tcBorders>
              <w:left w:val="nil"/>
              <w:bottom w:val="nil"/>
              <w:right w:val="nil"/>
            </w:tcBorders>
            <w:shd w:val="clear" w:color="auto" w:fill="auto"/>
            <w:noWrap/>
          </w:tcPr>
          <w:p w14:paraId="0789CA2D" w14:textId="77777777" w:rsidR="008C676E" w:rsidRPr="00CA2882" w:rsidRDefault="008C676E" w:rsidP="00AB1D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Optima</w:t>
            </w:r>
          </w:p>
        </w:tc>
        <w:tc>
          <w:tcPr>
            <w:tcW w:w="1531" w:type="dxa"/>
            <w:tcBorders>
              <w:left w:val="nil"/>
              <w:bottom w:val="nil"/>
              <w:right w:val="nil"/>
            </w:tcBorders>
          </w:tcPr>
          <w:p w14:paraId="4C1DC86F" w14:textId="77777777" w:rsidR="008C676E" w:rsidRPr="00E6627F" w:rsidRDefault="008C676E" w:rsidP="00AB1DC6">
            <w:pPr>
              <w:spacing w:after="0" w:line="240" w:lineRule="auto"/>
              <w:jc w:val="right"/>
              <w:rPr>
                <w:rFonts w:ascii="Arial" w:hAnsi="Arial" w:cs="Arial"/>
                <w:b/>
                <w:bCs/>
                <w:sz w:val="20"/>
                <w:szCs w:val="20"/>
              </w:rPr>
            </w:pPr>
            <w:r>
              <w:rPr>
                <w:rFonts w:ascii="Arial" w:hAnsi="Arial" w:cs="Arial"/>
                <w:b/>
                <w:bCs/>
                <w:sz w:val="20"/>
                <w:szCs w:val="20"/>
              </w:rPr>
              <w:t>1.1</w:t>
            </w:r>
          </w:p>
        </w:tc>
        <w:tc>
          <w:tcPr>
            <w:tcW w:w="1531" w:type="dxa"/>
            <w:tcBorders>
              <w:left w:val="nil"/>
              <w:bottom w:val="nil"/>
              <w:right w:val="nil"/>
            </w:tcBorders>
            <w:shd w:val="clear" w:color="auto" w:fill="auto"/>
            <w:noWrap/>
          </w:tcPr>
          <w:p w14:paraId="2D9F2AFC" w14:textId="77777777" w:rsidR="008C676E" w:rsidRPr="00E6627F" w:rsidRDefault="008C676E" w:rsidP="00AB1DC6">
            <w:pPr>
              <w:spacing w:after="0" w:line="240" w:lineRule="auto"/>
              <w:jc w:val="right"/>
              <w:rPr>
                <w:rFonts w:ascii="Arial" w:eastAsia="Times New Roman" w:hAnsi="Arial" w:cs="Arial"/>
                <w:color w:val="000000"/>
                <w:sz w:val="20"/>
                <w:szCs w:val="20"/>
                <w:lang w:eastAsia="en-GB"/>
              </w:rPr>
            </w:pPr>
            <w:r w:rsidRPr="00E6627F">
              <w:rPr>
                <w:rFonts w:ascii="Arial" w:eastAsia="Times New Roman" w:hAnsi="Arial" w:cs="Arial"/>
                <w:color w:val="000000"/>
                <w:sz w:val="20"/>
                <w:szCs w:val="20"/>
                <w:lang w:eastAsia="en-GB"/>
              </w:rPr>
              <w:t>-</w:t>
            </w:r>
          </w:p>
        </w:tc>
      </w:tr>
      <w:tr w:rsidR="008C676E" w:rsidRPr="004D7811" w14:paraId="7325105F" w14:textId="77777777" w:rsidTr="00AB1DC6">
        <w:trPr>
          <w:trHeight w:val="283"/>
        </w:trPr>
        <w:tc>
          <w:tcPr>
            <w:tcW w:w="6690" w:type="dxa"/>
            <w:tcBorders>
              <w:left w:val="nil"/>
              <w:bottom w:val="nil"/>
              <w:right w:val="nil"/>
            </w:tcBorders>
            <w:shd w:val="clear" w:color="auto" w:fill="auto"/>
            <w:noWrap/>
            <w:hideMark/>
          </w:tcPr>
          <w:p w14:paraId="25D897E7" w14:textId="77777777" w:rsidR="008C676E" w:rsidRPr="00CA2882" w:rsidRDefault="008C676E" w:rsidP="00AB1DC6">
            <w:pPr>
              <w:spacing w:after="0" w:line="240" w:lineRule="auto"/>
              <w:rPr>
                <w:rFonts w:ascii="Arial" w:eastAsia="Times New Roman" w:hAnsi="Arial" w:cs="Arial"/>
                <w:color w:val="000000"/>
                <w:sz w:val="20"/>
                <w:szCs w:val="20"/>
                <w:lang w:eastAsia="en-GB"/>
              </w:rPr>
            </w:pPr>
            <w:r w:rsidRPr="00CA2882">
              <w:rPr>
                <w:rFonts w:ascii="Arial" w:eastAsia="Times New Roman" w:hAnsi="Arial" w:cs="Arial"/>
                <w:color w:val="000000"/>
                <w:sz w:val="20"/>
                <w:szCs w:val="20"/>
                <w:lang w:eastAsia="en-GB"/>
              </w:rPr>
              <w:t>Victory Fire</w:t>
            </w:r>
          </w:p>
        </w:tc>
        <w:tc>
          <w:tcPr>
            <w:tcW w:w="1531" w:type="dxa"/>
            <w:tcBorders>
              <w:left w:val="nil"/>
              <w:bottom w:val="nil"/>
              <w:right w:val="nil"/>
            </w:tcBorders>
          </w:tcPr>
          <w:p w14:paraId="014842E0" w14:textId="77777777" w:rsidR="008C676E" w:rsidRPr="00E6627F" w:rsidRDefault="008C676E" w:rsidP="00AB1DC6">
            <w:pPr>
              <w:spacing w:after="0" w:line="240" w:lineRule="auto"/>
              <w:jc w:val="right"/>
              <w:rPr>
                <w:rFonts w:ascii="Arial" w:hAnsi="Arial" w:cs="Arial"/>
                <w:b/>
                <w:bCs/>
                <w:sz w:val="20"/>
                <w:szCs w:val="20"/>
              </w:rPr>
            </w:pPr>
            <w:r>
              <w:rPr>
                <w:rFonts w:ascii="Arial" w:hAnsi="Arial" w:cs="Arial"/>
                <w:b/>
                <w:bCs/>
                <w:sz w:val="20"/>
                <w:szCs w:val="20"/>
              </w:rPr>
              <w:t>1.3</w:t>
            </w:r>
          </w:p>
        </w:tc>
        <w:tc>
          <w:tcPr>
            <w:tcW w:w="1531" w:type="dxa"/>
            <w:tcBorders>
              <w:left w:val="nil"/>
              <w:bottom w:val="nil"/>
              <w:right w:val="nil"/>
            </w:tcBorders>
            <w:shd w:val="clear" w:color="auto" w:fill="auto"/>
            <w:noWrap/>
          </w:tcPr>
          <w:p w14:paraId="4C3A4991" w14:textId="77777777" w:rsidR="008C676E" w:rsidRPr="00E6627F" w:rsidRDefault="008C676E" w:rsidP="00AB1DC6">
            <w:pPr>
              <w:spacing w:after="0" w:line="240" w:lineRule="auto"/>
              <w:jc w:val="right"/>
              <w:rPr>
                <w:rFonts w:ascii="Arial" w:eastAsia="Times New Roman" w:hAnsi="Arial" w:cs="Arial"/>
                <w:color w:val="000000"/>
                <w:sz w:val="20"/>
                <w:szCs w:val="20"/>
                <w:lang w:eastAsia="en-GB"/>
              </w:rPr>
            </w:pPr>
            <w:r w:rsidRPr="00E6627F">
              <w:rPr>
                <w:rFonts w:ascii="Arial" w:eastAsia="Times New Roman" w:hAnsi="Arial" w:cs="Arial"/>
                <w:color w:val="000000"/>
                <w:sz w:val="20"/>
                <w:szCs w:val="20"/>
                <w:lang w:eastAsia="en-GB"/>
              </w:rPr>
              <w:t>-</w:t>
            </w:r>
          </w:p>
        </w:tc>
      </w:tr>
      <w:tr w:rsidR="008C676E" w:rsidRPr="004D7811" w14:paraId="1FA0D53C" w14:textId="77777777" w:rsidTr="00AB1DC6">
        <w:trPr>
          <w:trHeight w:val="283"/>
        </w:trPr>
        <w:tc>
          <w:tcPr>
            <w:tcW w:w="6690" w:type="dxa"/>
            <w:tcBorders>
              <w:left w:val="nil"/>
              <w:bottom w:val="nil"/>
              <w:right w:val="nil"/>
            </w:tcBorders>
            <w:shd w:val="clear" w:color="auto" w:fill="auto"/>
            <w:noWrap/>
          </w:tcPr>
          <w:p w14:paraId="6FF209DD" w14:textId="77777777" w:rsidR="008C676E" w:rsidRPr="00CA2882" w:rsidRDefault="008C676E" w:rsidP="00AB1D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JCR</w:t>
            </w:r>
          </w:p>
        </w:tc>
        <w:tc>
          <w:tcPr>
            <w:tcW w:w="1531" w:type="dxa"/>
            <w:tcBorders>
              <w:left w:val="nil"/>
              <w:bottom w:val="nil"/>
              <w:right w:val="nil"/>
            </w:tcBorders>
          </w:tcPr>
          <w:p w14:paraId="33715F25" w14:textId="77777777" w:rsidR="008C676E" w:rsidRPr="00E6627F" w:rsidRDefault="008C676E" w:rsidP="00AB1DC6">
            <w:pPr>
              <w:spacing w:after="0" w:line="240" w:lineRule="auto"/>
              <w:jc w:val="right"/>
              <w:rPr>
                <w:rFonts w:ascii="Arial" w:hAnsi="Arial" w:cs="Arial"/>
                <w:b/>
                <w:bCs/>
                <w:sz w:val="20"/>
                <w:szCs w:val="20"/>
              </w:rPr>
            </w:pPr>
            <w:r>
              <w:rPr>
                <w:rFonts w:ascii="Arial" w:hAnsi="Arial" w:cs="Arial"/>
                <w:b/>
                <w:bCs/>
                <w:sz w:val="20"/>
                <w:szCs w:val="20"/>
              </w:rPr>
              <w:t>1.1</w:t>
            </w:r>
          </w:p>
        </w:tc>
        <w:tc>
          <w:tcPr>
            <w:tcW w:w="1531" w:type="dxa"/>
            <w:tcBorders>
              <w:left w:val="nil"/>
              <w:bottom w:val="nil"/>
              <w:right w:val="nil"/>
            </w:tcBorders>
            <w:shd w:val="clear" w:color="auto" w:fill="auto"/>
            <w:noWrap/>
          </w:tcPr>
          <w:p w14:paraId="1F5BCBA9" w14:textId="77777777" w:rsidR="008C676E" w:rsidRPr="00E6627F" w:rsidRDefault="008C676E" w:rsidP="00AB1DC6">
            <w:pPr>
              <w:spacing w:after="0" w:line="240" w:lineRule="auto"/>
              <w:jc w:val="right"/>
              <w:rPr>
                <w:rFonts w:ascii="Arial" w:eastAsia="Times New Roman" w:hAnsi="Arial" w:cs="Arial"/>
                <w:color w:val="000000"/>
                <w:sz w:val="20"/>
                <w:szCs w:val="20"/>
                <w:lang w:eastAsia="en-GB"/>
              </w:rPr>
            </w:pPr>
            <w:r w:rsidRPr="00E6627F">
              <w:rPr>
                <w:rFonts w:ascii="Arial" w:eastAsia="Times New Roman" w:hAnsi="Arial" w:cs="Arial"/>
                <w:color w:val="000000"/>
                <w:sz w:val="20"/>
                <w:szCs w:val="20"/>
                <w:lang w:eastAsia="en-GB"/>
              </w:rPr>
              <w:t>-</w:t>
            </w:r>
          </w:p>
        </w:tc>
      </w:tr>
      <w:tr w:rsidR="008C676E" w:rsidRPr="004D7811" w14:paraId="0464C925" w14:textId="77777777" w:rsidTr="00AB1DC6">
        <w:trPr>
          <w:trHeight w:val="283"/>
        </w:trPr>
        <w:tc>
          <w:tcPr>
            <w:tcW w:w="6690" w:type="dxa"/>
            <w:tcBorders>
              <w:top w:val="nil"/>
              <w:left w:val="nil"/>
              <w:bottom w:val="single" w:sz="4" w:space="0" w:color="auto"/>
              <w:right w:val="nil"/>
            </w:tcBorders>
            <w:shd w:val="clear" w:color="auto" w:fill="auto"/>
            <w:noWrap/>
            <w:hideMark/>
          </w:tcPr>
          <w:p w14:paraId="7821132B" w14:textId="77777777" w:rsidR="008C676E" w:rsidRPr="00CA2882" w:rsidRDefault="008C676E" w:rsidP="00AB1DC6">
            <w:pPr>
              <w:spacing w:after="0" w:line="240" w:lineRule="auto"/>
              <w:rPr>
                <w:rFonts w:ascii="Arial" w:eastAsia="Times New Roman" w:hAnsi="Arial" w:cs="Arial"/>
                <w:color w:val="000000"/>
                <w:sz w:val="20"/>
                <w:szCs w:val="20"/>
                <w:lang w:eastAsia="en-GB"/>
              </w:rPr>
            </w:pPr>
            <w:r w:rsidRPr="00CA2882">
              <w:rPr>
                <w:rFonts w:ascii="Arial" w:hAnsi="Arial" w:cs="Arial"/>
                <w:sz w:val="20"/>
                <w:szCs w:val="20"/>
              </w:rPr>
              <w:t xml:space="preserve">Other (comprising </w:t>
            </w:r>
            <w:r>
              <w:rPr>
                <w:rFonts w:ascii="Arial" w:hAnsi="Arial" w:cs="Arial"/>
                <w:sz w:val="20"/>
                <w:szCs w:val="20"/>
              </w:rPr>
              <w:t>17 acquisitions in FY23</w:t>
            </w:r>
            <w:r w:rsidRPr="00CA2882">
              <w:rPr>
                <w:rFonts w:ascii="Arial" w:hAnsi="Arial" w:cs="Arial"/>
                <w:sz w:val="20"/>
                <w:szCs w:val="20"/>
              </w:rPr>
              <w:t>)</w:t>
            </w:r>
          </w:p>
        </w:tc>
        <w:tc>
          <w:tcPr>
            <w:tcW w:w="1531" w:type="dxa"/>
            <w:tcBorders>
              <w:top w:val="nil"/>
              <w:left w:val="nil"/>
              <w:bottom w:val="single" w:sz="4" w:space="0" w:color="auto"/>
              <w:right w:val="nil"/>
            </w:tcBorders>
          </w:tcPr>
          <w:p w14:paraId="27E9578D" w14:textId="77777777" w:rsidR="008C676E" w:rsidRPr="00E6627F" w:rsidRDefault="008C676E" w:rsidP="00AB1DC6">
            <w:pPr>
              <w:spacing w:after="0" w:line="240" w:lineRule="auto"/>
              <w:jc w:val="right"/>
              <w:rPr>
                <w:rFonts w:ascii="Arial" w:hAnsi="Arial" w:cs="Arial"/>
                <w:b/>
                <w:bCs/>
                <w:sz w:val="20"/>
                <w:szCs w:val="20"/>
              </w:rPr>
            </w:pPr>
            <w:r>
              <w:rPr>
                <w:rFonts w:ascii="Arial" w:hAnsi="Arial" w:cs="Arial"/>
                <w:b/>
                <w:bCs/>
                <w:sz w:val="20"/>
                <w:szCs w:val="20"/>
              </w:rPr>
              <w:t>-</w:t>
            </w:r>
          </w:p>
        </w:tc>
        <w:tc>
          <w:tcPr>
            <w:tcW w:w="1531" w:type="dxa"/>
            <w:tcBorders>
              <w:top w:val="nil"/>
              <w:left w:val="nil"/>
              <w:bottom w:val="single" w:sz="4" w:space="0" w:color="auto"/>
              <w:right w:val="nil"/>
            </w:tcBorders>
            <w:shd w:val="clear" w:color="auto" w:fill="auto"/>
            <w:noWrap/>
          </w:tcPr>
          <w:p w14:paraId="3DD08AAC" w14:textId="77777777" w:rsidR="008C676E" w:rsidRPr="00E6627F" w:rsidRDefault="008C676E" w:rsidP="00AB1DC6">
            <w:pPr>
              <w:spacing w:after="0" w:line="240" w:lineRule="auto"/>
              <w:jc w:val="right"/>
              <w:rPr>
                <w:rFonts w:ascii="Arial" w:eastAsia="Times New Roman" w:hAnsi="Arial" w:cs="Arial"/>
                <w:color w:val="000000"/>
                <w:sz w:val="20"/>
                <w:szCs w:val="20"/>
                <w:lang w:eastAsia="en-GB"/>
              </w:rPr>
            </w:pPr>
            <w:r w:rsidRPr="00E6627F">
              <w:rPr>
                <w:rFonts w:ascii="Arial" w:eastAsia="Times New Roman" w:hAnsi="Arial" w:cs="Arial"/>
                <w:color w:val="000000"/>
                <w:sz w:val="20"/>
                <w:szCs w:val="20"/>
                <w:lang w:eastAsia="en-GB"/>
              </w:rPr>
              <w:t>4.7</w:t>
            </w:r>
          </w:p>
        </w:tc>
      </w:tr>
      <w:tr w:rsidR="008C676E" w:rsidRPr="004D7811" w14:paraId="57D2E81D" w14:textId="77777777" w:rsidTr="00AB1DC6">
        <w:trPr>
          <w:trHeight w:val="283"/>
        </w:trPr>
        <w:tc>
          <w:tcPr>
            <w:tcW w:w="6690" w:type="dxa"/>
            <w:tcBorders>
              <w:top w:val="single" w:sz="4" w:space="0" w:color="auto"/>
              <w:left w:val="nil"/>
              <w:bottom w:val="double" w:sz="4" w:space="0" w:color="auto"/>
              <w:right w:val="nil"/>
            </w:tcBorders>
            <w:shd w:val="clear" w:color="auto" w:fill="auto"/>
            <w:noWrap/>
            <w:vAlign w:val="center"/>
          </w:tcPr>
          <w:p w14:paraId="2985500F" w14:textId="77777777" w:rsidR="008C676E" w:rsidRPr="00CA2882" w:rsidRDefault="008C676E" w:rsidP="00AB1DC6">
            <w:pPr>
              <w:spacing w:after="0" w:line="240" w:lineRule="auto"/>
              <w:rPr>
                <w:rFonts w:ascii="Arial" w:hAnsi="Arial" w:cs="Arial"/>
                <w:sz w:val="20"/>
                <w:szCs w:val="20"/>
              </w:rPr>
            </w:pPr>
          </w:p>
        </w:tc>
        <w:tc>
          <w:tcPr>
            <w:tcW w:w="1531" w:type="dxa"/>
            <w:tcBorders>
              <w:top w:val="single" w:sz="4" w:space="0" w:color="auto"/>
              <w:left w:val="nil"/>
              <w:bottom w:val="double" w:sz="4" w:space="0" w:color="auto"/>
              <w:right w:val="nil"/>
            </w:tcBorders>
            <w:vAlign w:val="center"/>
          </w:tcPr>
          <w:p w14:paraId="7A5D0B17" w14:textId="77777777" w:rsidR="008C676E" w:rsidRPr="00E6627F" w:rsidRDefault="008C676E" w:rsidP="00AB1DC6">
            <w:pPr>
              <w:spacing w:after="0" w:line="240" w:lineRule="auto"/>
              <w:jc w:val="right"/>
              <w:rPr>
                <w:rFonts w:ascii="Arial" w:hAnsi="Arial" w:cs="Arial"/>
                <w:b/>
                <w:bCs/>
                <w:sz w:val="20"/>
                <w:szCs w:val="20"/>
              </w:rPr>
            </w:pPr>
            <w:r>
              <w:rPr>
                <w:rFonts w:ascii="Arial" w:hAnsi="Arial" w:cs="Arial"/>
                <w:b/>
                <w:bCs/>
                <w:sz w:val="20"/>
                <w:szCs w:val="20"/>
              </w:rPr>
              <w:t>3.5</w:t>
            </w:r>
          </w:p>
        </w:tc>
        <w:tc>
          <w:tcPr>
            <w:tcW w:w="1531" w:type="dxa"/>
            <w:tcBorders>
              <w:top w:val="single" w:sz="4" w:space="0" w:color="auto"/>
              <w:left w:val="nil"/>
              <w:bottom w:val="double" w:sz="4" w:space="0" w:color="auto"/>
              <w:right w:val="nil"/>
            </w:tcBorders>
            <w:shd w:val="clear" w:color="auto" w:fill="auto"/>
            <w:noWrap/>
            <w:vAlign w:val="center"/>
          </w:tcPr>
          <w:p w14:paraId="5E7F61AC" w14:textId="77777777" w:rsidR="008C676E" w:rsidRPr="00E6627F" w:rsidRDefault="008C676E" w:rsidP="00AB1DC6">
            <w:pPr>
              <w:spacing w:after="0" w:line="240" w:lineRule="auto"/>
              <w:jc w:val="right"/>
              <w:rPr>
                <w:rFonts w:ascii="Arial" w:eastAsia="Times New Roman" w:hAnsi="Arial" w:cs="Arial"/>
                <w:color w:val="000000"/>
                <w:sz w:val="20"/>
                <w:szCs w:val="20"/>
                <w:lang w:eastAsia="en-GB"/>
              </w:rPr>
            </w:pPr>
            <w:r w:rsidRPr="00E6627F">
              <w:rPr>
                <w:rFonts w:ascii="Arial" w:eastAsia="Times New Roman" w:hAnsi="Arial" w:cs="Arial"/>
                <w:color w:val="000000"/>
                <w:sz w:val="20"/>
                <w:szCs w:val="20"/>
                <w:lang w:eastAsia="en-GB"/>
              </w:rPr>
              <w:t>20.0</w:t>
            </w:r>
          </w:p>
        </w:tc>
      </w:tr>
    </w:tbl>
    <w:p w14:paraId="511F7833" w14:textId="77777777" w:rsidR="008C676E" w:rsidRDefault="008C676E" w:rsidP="008C676E">
      <w:pPr>
        <w:spacing w:after="0"/>
        <w:rPr>
          <w:rFonts w:ascii="Arial" w:eastAsia="Times New Roman" w:hAnsi="Arial" w:cs="Arial"/>
          <w:b/>
          <w:bCs/>
          <w:color w:val="000000"/>
          <w:sz w:val="20"/>
          <w:szCs w:val="20"/>
          <w:highlight w:val="yellow"/>
          <w:lang w:eastAsia="en-GB"/>
        </w:rPr>
      </w:pPr>
    </w:p>
    <w:p w14:paraId="3F532A4C" w14:textId="77777777" w:rsidR="008C676E" w:rsidRDefault="008C676E" w:rsidP="008C676E">
      <w:pPr>
        <w:spacing w:after="0"/>
        <w:rPr>
          <w:rFonts w:ascii="Arial" w:eastAsia="Times New Roman" w:hAnsi="Arial" w:cs="Arial"/>
          <w:color w:val="000000"/>
          <w:sz w:val="20"/>
          <w:szCs w:val="20"/>
          <w:lang w:eastAsia="en-GB"/>
        </w:rPr>
      </w:pPr>
      <w:proofErr w:type="gramStart"/>
      <w:r w:rsidRPr="00A43702">
        <w:rPr>
          <w:rFonts w:ascii="Arial" w:eastAsia="Times New Roman" w:hAnsi="Arial" w:cs="Arial"/>
          <w:color w:val="000000"/>
          <w:sz w:val="20"/>
          <w:szCs w:val="20"/>
          <w:lang w:eastAsia="en-GB"/>
        </w:rPr>
        <w:t>At</w:t>
      </w:r>
      <w:proofErr w:type="gramEnd"/>
      <w:r w:rsidRPr="00A43702">
        <w:rPr>
          <w:rFonts w:ascii="Arial" w:eastAsia="Times New Roman" w:hAnsi="Arial" w:cs="Arial"/>
          <w:color w:val="000000"/>
          <w:sz w:val="20"/>
          <w:szCs w:val="20"/>
          <w:lang w:eastAsia="en-GB"/>
        </w:rPr>
        <w:t xml:space="preserve"> 31 March 2024, contingent consideration of £16.3m (2023:</w:t>
      </w:r>
      <w:r>
        <w:rPr>
          <w:rFonts w:ascii="Arial" w:eastAsia="Times New Roman" w:hAnsi="Arial" w:cs="Arial"/>
          <w:color w:val="000000"/>
          <w:sz w:val="20"/>
          <w:szCs w:val="20"/>
          <w:lang w:eastAsia="en-GB"/>
        </w:rPr>
        <w:t xml:space="preserve"> </w:t>
      </w:r>
      <w:r w:rsidRPr="00A43702">
        <w:rPr>
          <w:rFonts w:ascii="Arial" w:eastAsia="Times New Roman" w:hAnsi="Arial" w:cs="Arial"/>
          <w:color w:val="000000"/>
          <w:sz w:val="20"/>
          <w:szCs w:val="20"/>
          <w:lang w:eastAsia="en-GB"/>
        </w:rPr>
        <w:t>£nil) in respect of the disposal group had been reclassified as discontinued operations and shown within liabilities held for sale.</w:t>
      </w:r>
    </w:p>
    <w:p w14:paraId="1C4E998F" w14:textId="77777777" w:rsidR="004F6977" w:rsidRDefault="004F6977" w:rsidP="008C676E">
      <w:pPr>
        <w:spacing w:after="0"/>
        <w:rPr>
          <w:rFonts w:ascii="Arial" w:eastAsia="Times New Roman" w:hAnsi="Arial" w:cs="Arial"/>
          <w:color w:val="000000"/>
          <w:sz w:val="20"/>
          <w:szCs w:val="20"/>
          <w:lang w:eastAsia="en-GB"/>
        </w:rPr>
      </w:pPr>
    </w:p>
    <w:p w14:paraId="44BD4D69" w14:textId="77777777" w:rsidR="004F6977" w:rsidRDefault="004F6977" w:rsidP="008C676E">
      <w:pPr>
        <w:spacing w:after="0"/>
        <w:rPr>
          <w:rFonts w:ascii="Arial" w:eastAsia="Times New Roman" w:hAnsi="Arial" w:cs="Arial"/>
          <w:color w:val="000000"/>
          <w:sz w:val="20"/>
          <w:szCs w:val="20"/>
          <w:lang w:eastAsia="en-GB"/>
        </w:rPr>
      </w:pPr>
    </w:p>
    <w:p w14:paraId="6218B51A" w14:textId="77777777" w:rsidR="004F6977" w:rsidRDefault="004F6977" w:rsidP="008C676E">
      <w:pPr>
        <w:spacing w:after="0"/>
        <w:rPr>
          <w:rFonts w:ascii="Arial" w:eastAsia="Times New Roman" w:hAnsi="Arial" w:cs="Arial"/>
          <w:color w:val="000000"/>
          <w:sz w:val="20"/>
          <w:szCs w:val="20"/>
          <w:lang w:eastAsia="en-GB"/>
        </w:rPr>
      </w:pPr>
    </w:p>
    <w:p w14:paraId="3E1D7932" w14:textId="77777777" w:rsidR="004F6977" w:rsidRDefault="004F6977" w:rsidP="008C676E">
      <w:pPr>
        <w:spacing w:after="0"/>
        <w:rPr>
          <w:rFonts w:ascii="Arial" w:eastAsia="Times New Roman" w:hAnsi="Arial" w:cs="Arial"/>
          <w:color w:val="000000"/>
          <w:sz w:val="20"/>
          <w:szCs w:val="20"/>
          <w:lang w:eastAsia="en-GB"/>
        </w:rPr>
      </w:pPr>
    </w:p>
    <w:p w14:paraId="449B154E" w14:textId="77777777" w:rsidR="004F6977" w:rsidRDefault="004F6977" w:rsidP="008C676E">
      <w:pPr>
        <w:spacing w:after="0"/>
        <w:rPr>
          <w:rFonts w:ascii="Arial" w:eastAsia="Times New Roman" w:hAnsi="Arial" w:cs="Arial"/>
          <w:color w:val="000000"/>
          <w:sz w:val="20"/>
          <w:szCs w:val="20"/>
          <w:lang w:eastAsia="en-GB"/>
        </w:rPr>
      </w:pPr>
    </w:p>
    <w:p w14:paraId="1C0F2DEE" w14:textId="77777777" w:rsidR="004F6977" w:rsidRDefault="004F6977" w:rsidP="008C676E">
      <w:pPr>
        <w:spacing w:after="0"/>
        <w:rPr>
          <w:rFonts w:ascii="Arial" w:eastAsia="Times New Roman" w:hAnsi="Arial" w:cs="Arial"/>
          <w:color w:val="000000"/>
          <w:sz w:val="20"/>
          <w:szCs w:val="20"/>
          <w:lang w:eastAsia="en-GB"/>
        </w:rPr>
      </w:pPr>
    </w:p>
    <w:p w14:paraId="7CFEC0B0" w14:textId="77777777" w:rsidR="0051500E" w:rsidRDefault="0051500E" w:rsidP="008C676E">
      <w:pPr>
        <w:spacing w:after="0"/>
        <w:rPr>
          <w:rFonts w:ascii="Arial" w:eastAsia="Times New Roman" w:hAnsi="Arial" w:cs="Arial"/>
          <w:color w:val="000000"/>
          <w:sz w:val="20"/>
          <w:szCs w:val="20"/>
          <w:lang w:eastAsia="en-GB"/>
        </w:rPr>
      </w:pPr>
    </w:p>
    <w:p w14:paraId="1E8A6A6E" w14:textId="77777777" w:rsidR="00382CD4" w:rsidRPr="00A43702" w:rsidRDefault="00382CD4" w:rsidP="008C676E">
      <w:pPr>
        <w:spacing w:after="0"/>
        <w:rPr>
          <w:rFonts w:ascii="Arial" w:eastAsia="Times New Roman" w:hAnsi="Arial" w:cs="Arial"/>
          <w:color w:val="000000"/>
          <w:sz w:val="20"/>
          <w:szCs w:val="20"/>
          <w:lang w:eastAsia="en-GB"/>
        </w:rPr>
      </w:pPr>
    </w:p>
    <w:p w14:paraId="30340518" w14:textId="1FDDF054" w:rsidR="008C676E" w:rsidRDefault="00820EA9" w:rsidP="008C676E">
      <w:pPr>
        <w:spacing w:after="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lastRenderedPageBreak/>
        <w:t>1</w:t>
      </w:r>
      <w:r w:rsidR="00FE6936">
        <w:rPr>
          <w:rFonts w:ascii="Arial" w:eastAsia="Times New Roman" w:hAnsi="Arial" w:cs="Arial"/>
          <w:b/>
          <w:bCs/>
          <w:color w:val="000000"/>
          <w:sz w:val="20"/>
          <w:szCs w:val="20"/>
          <w:lang w:eastAsia="en-GB"/>
        </w:rPr>
        <w:t>0</w:t>
      </w:r>
      <w:r>
        <w:rPr>
          <w:rFonts w:ascii="Arial" w:eastAsia="Times New Roman" w:hAnsi="Arial" w:cs="Arial"/>
          <w:b/>
          <w:bCs/>
          <w:color w:val="000000"/>
          <w:sz w:val="20"/>
          <w:szCs w:val="20"/>
          <w:lang w:eastAsia="en-GB"/>
        </w:rPr>
        <w:t>. Net debt</w:t>
      </w:r>
      <w:r w:rsidR="008A1149">
        <w:rPr>
          <w:rFonts w:ascii="Arial" w:eastAsia="Times New Roman" w:hAnsi="Arial" w:cs="Arial"/>
          <w:b/>
          <w:bCs/>
          <w:color w:val="000000"/>
          <w:sz w:val="20"/>
          <w:szCs w:val="20"/>
          <w:lang w:eastAsia="en-GB"/>
        </w:rPr>
        <w:t xml:space="preserve"> and borrowing facilities</w:t>
      </w:r>
    </w:p>
    <w:p w14:paraId="0EEF4751" w14:textId="77777777" w:rsidR="008C676E" w:rsidRDefault="008C676E" w:rsidP="008C676E">
      <w:pPr>
        <w:spacing w:after="0"/>
        <w:rPr>
          <w:rFonts w:ascii="Arial" w:eastAsia="Times New Roman" w:hAnsi="Arial" w:cs="Arial"/>
          <w:b/>
          <w:bCs/>
          <w:color w:val="000000"/>
          <w:sz w:val="20"/>
          <w:szCs w:val="20"/>
          <w:lang w:eastAsia="en-GB"/>
        </w:rPr>
      </w:pPr>
    </w:p>
    <w:tbl>
      <w:tblPr>
        <w:tblW w:w="9752" w:type="dxa"/>
        <w:tblInd w:w="-30" w:type="dxa"/>
        <w:tblLayout w:type="fixed"/>
        <w:tblLook w:val="0000" w:firstRow="0" w:lastRow="0" w:firstColumn="0" w:lastColumn="0" w:noHBand="0" w:noVBand="0"/>
      </w:tblPr>
      <w:tblGrid>
        <w:gridCol w:w="6690"/>
        <w:gridCol w:w="1531"/>
        <w:gridCol w:w="1531"/>
      </w:tblGrid>
      <w:tr w:rsidR="008C676E" w:rsidRPr="00022DB4" w14:paraId="6998B2C0" w14:textId="77777777" w:rsidTr="00AB1DC6">
        <w:trPr>
          <w:trHeight w:val="283"/>
        </w:trPr>
        <w:tc>
          <w:tcPr>
            <w:tcW w:w="6690" w:type="dxa"/>
            <w:tcBorders>
              <w:top w:val="nil"/>
              <w:left w:val="nil"/>
              <w:bottom w:val="single" w:sz="6" w:space="0" w:color="auto"/>
              <w:right w:val="nil"/>
            </w:tcBorders>
            <w:vAlign w:val="bottom"/>
          </w:tcPr>
          <w:p w14:paraId="0C8FB948" w14:textId="77777777" w:rsidR="008C676E" w:rsidRPr="0022781D" w:rsidRDefault="008C676E" w:rsidP="00AB1DC6">
            <w:pPr>
              <w:autoSpaceDE w:val="0"/>
              <w:autoSpaceDN w:val="0"/>
              <w:adjustRightInd w:val="0"/>
              <w:spacing w:after="0" w:line="0" w:lineRule="atLeast"/>
              <w:jc w:val="right"/>
              <w:rPr>
                <w:rFonts w:ascii="Arial" w:hAnsi="Arial" w:cs="Arial"/>
                <w:color w:val="000000"/>
                <w:sz w:val="20"/>
                <w:szCs w:val="20"/>
              </w:rPr>
            </w:pPr>
          </w:p>
        </w:tc>
        <w:tc>
          <w:tcPr>
            <w:tcW w:w="1531" w:type="dxa"/>
            <w:tcBorders>
              <w:top w:val="nil"/>
              <w:left w:val="nil"/>
              <w:bottom w:val="single" w:sz="6" w:space="0" w:color="auto"/>
              <w:right w:val="nil"/>
            </w:tcBorders>
            <w:vAlign w:val="bottom"/>
          </w:tcPr>
          <w:p w14:paraId="00C3C43F" w14:textId="77777777" w:rsidR="008C676E" w:rsidRPr="00AC7A9B"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AC7A9B">
              <w:rPr>
                <w:rFonts w:ascii="Arial" w:hAnsi="Arial" w:cs="Arial"/>
                <w:b/>
                <w:bCs/>
                <w:color w:val="000000"/>
                <w:sz w:val="20"/>
                <w:szCs w:val="20"/>
              </w:rPr>
              <w:t>2024</w:t>
            </w:r>
          </w:p>
          <w:p w14:paraId="714C4421" w14:textId="77777777" w:rsidR="008C676E" w:rsidRPr="00AC7A9B" w:rsidRDefault="008C676E" w:rsidP="00AB1DC6">
            <w:pPr>
              <w:autoSpaceDE w:val="0"/>
              <w:autoSpaceDN w:val="0"/>
              <w:adjustRightInd w:val="0"/>
              <w:spacing w:after="0" w:line="0" w:lineRule="atLeast"/>
              <w:ind w:firstLine="193"/>
              <w:jc w:val="right"/>
              <w:rPr>
                <w:rFonts w:ascii="Arial" w:hAnsi="Arial" w:cs="Arial"/>
                <w:b/>
                <w:bCs/>
                <w:color w:val="000000"/>
                <w:sz w:val="20"/>
                <w:szCs w:val="20"/>
              </w:rPr>
            </w:pPr>
            <w:r w:rsidRPr="00AC7A9B">
              <w:rPr>
                <w:rFonts w:ascii="Arial" w:hAnsi="Arial" w:cs="Arial"/>
                <w:b/>
                <w:bCs/>
                <w:color w:val="000000"/>
                <w:sz w:val="20"/>
                <w:szCs w:val="20"/>
              </w:rPr>
              <w:t>£’m</w:t>
            </w:r>
          </w:p>
        </w:tc>
        <w:tc>
          <w:tcPr>
            <w:tcW w:w="1531" w:type="dxa"/>
            <w:tcBorders>
              <w:left w:val="nil"/>
              <w:bottom w:val="single" w:sz="6" w:space="0" w:color="auto"/>
              <w:right w:val="nil"/>
            </w:tcBorders>
            <w:vAlign w:val="bottom"/>
          </w:tcPr>
          <w:p w14:paraId="15DE9C61" w14:textId="77777777" w:rsidR="008C676E" w:rsidRPr="00022DB4" w:rsidRDefault="008C676E" w:rsidP="00AB1DC6">
            <w:pPr>
              <w:autoSpaceDE w:val="0"/>
              <w:autoSpaceDN w:val="0"/>
              <w:adjustRightInd w:val="0"/>
              <w:spacing w:after="0" w:line="0" w:lineRule="atLeast"/>
              <w:jc w:val="right"/>
              <w:rPr>
                <w:rFonts w:ascii="Arial" w:hAnsi="Arial" w:cs="Arial"/>
                <w:b/>
                <w:bCs/>
                <w:color w:val="000000"/>
                <w:sz w:val="20"/>
                <w:szCs w:val="20"/>
              </w:rPr>
            </w:pPr>
            <w:r w:rsidRPr="00022DB4">
              <w:rPr>
                <w:rFonts w:ascii="Arial" w:hAnsi="Arial" w:cs="Arial"/>
                <w:b/>
                <w:bCs/>
                <w:color w:val="000000"/>
                <w:sz w:val="20"/>
                <w:szCs w:val="20"/>
              </w:rPr>
              <w:t>2023</w:t>
            </w:r>
          </w:p>
          <w:p w14:paraId="1821F3F5" w14:textId="77777777" w:rsidR="008C676E" w:rsidRPr="00022DB4" w:rsidRDefault="008C676E" w:rsidP="00AB1DC6">
            <w:pPr>
              <w:autoSpaceDE w:val="0"/>
              <w:autoSpaceDN w:val="0"/>
              <w:adjustRightInd w:val="0"/>
              <w:spacing w:after="0" w:line="0" w:lineRule="atLeast"/>
              <w:jc w:val="right"/>
              <w:rPr>
                <w:rFonts w:ascii="Arial" w:hAnsi="Arial" w:cs="Arial"/>
                <w:b/>
                <w:bCs/>
                <w:color w:val="000000"/>
                <w:sz w:val="20"/>
                <w:szCs w:val="20"/>
              </w:rPr>
            </w:pPr>
            <w:r w:rsidRPr="00022DB4">
              <w:rPr>
                <w:rFonts w:ascii="Arial" w:hAnsi="Arial" w:cs="Arial"/>
                <w:b/>
                <w:bCs/>
                <w:color w:val="000000"/>
                <w:sz w:val="20"/>
                <w:szCs w:val="20"/>
              </w:rPr>
              <w:t>£’m</w:t>
            </w:r>
          </w:p>
        </w:tc>
      </w:tr>
      <w:tr w:rsidR="008C676E" w:rsidRPr="004D7811" w14:paraId="2AF3FE64" w14:textId="77777777" w:rsidTr="00AB1DC6">
        <w:trPr>
          <w:trHeight w:val="283"/>
        </w:trPr>
        <w:tc>
          <w:tcPr>
            <w:tcW w:w="6690" w:type="dxa"/>
            <w:tcBorders>
              <w:top w:val="single" w:sz="6" w:space="0" w:color="auto"/>
              <w:left w:val="nil"/>
              <w:right w:val="nil"/>
            </w:tcBorders>
            <w:vAlign w:val="bottom"/>
          </w:tcPr>
          <w:p w14:paraId="220E6B29" w14:textId="77777777" w:rsidR="008C676E" w:rsidRPr="00A43702" w:rsidRDefault="008C676E" w:rsidP="00AB1DC6">
            <w:pPr>
              <w:autoSpaceDE w:val="0"/>
              <w:autoSpaceDN w:val="0"/>
              <w:adjustRightInd w:val="0"/>
              <w:spacing w:after="0" w:line="0" w:lineRule="atLeast"/>
              <w:rPr>
                <w:rFonts w:ascii="Arial" w:hAnsi="Arial" w:cs="Arial"/>
                <w:b/>
                <w:bCs/>
                <w:i/>
                <w:iCs/>
                <w:color w:val="000000"/>
                <w:sz w:val="20"/>
                <w:szCs w:val="20"/>
              </w:rPr>
            </w:pPr>
            <w:r w:rsidRPr="00A43702">
              <w:rPr>
                <w:rFonts w:ascii="Arial" w:hAnsi="Arial" w:cs="Arial"/>
                <w:b/>
                <w:bCs/>
                <w:i/>
                <w:iCs/>
                <w:color w:val="000000"/>
                <w:sz w:val="20"/>
                <w:szCs w:val="20"/>
              </w:rPr>
              <w:t>Continuing Operations:</w:t>
            </w:r>
          </w:p>
        </w:tc>
        <w:tc>
          <w:tcPr>
            <w:tcW w:w="1531" w:type="dxa"/>
            <w:tcBorders>
              <w:top w:val="single" w:sz="6" w:space="0" w:color="auto"/>
              <w:left w:val="nil"/>
              <w:right w:val="nil"/>
            </w:tcBorders>
            <w:vAlign w:val="bottom"/>
          </w:tcPr>
          <w:p w14:paraId="1E31BD97" w14:textId="77777777" w:rsidR="008C676E" w:rsidRPr="003F63A9"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Borders>
              <w:top w:val="single" w:sz="6" w:space="0" w:color="auto"/>
              <w:left w:val="nil"/>
              <w:right w:val="nil"/>
            </w:tcBorders>
            <w:vAlign w:val="bottom"/>
          </w:tcPr>
          <w:p w14:paraId="75431E72" w14:textId="77777777" w:rsidR="008C676E" w:rsidRPr="003F63A9"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63C62D28" w14:textId="77777777" w:rsidTr="00AB1DC6">
        <w:trPr>
          <w:trHeight w:val="283"/>
        </w:trPr>
        <w:tc>
          <w:tcPr>
            <w:tcW w:w="6690" w:type="dxa"/>
            <w:tcBorders>
              <w:left w:val="nil"/>
              <w:right w:val="nil"/>
            </w:tcBorders>
            <w:vAlign w:val="bottom"/>
          </w:tcPr>
          <w:p w14:paraId="6D730948" w14:textId="77777777" w:rsidR="008C676E" w:rsidRPr="003F63A9" w:rsidRDefault="008C676E" w:rsidP="00AB1DC6">
            <w:pPr>
              <w:autoSpaceDE w:val="0"/>
              <w:autoSpaceDN w:val="0"/>
              <w:adjustRightInd w:val="0"/>
              <w:spacing w:after="0" w:line="0" w:lineRule="atLeast"/>
              <w:rPr>
                <w:rFonts w:ascii="Arial" w:hAnsi="Arial" w:cs="Arial"/>
                <w:color w:val="000000"/>
                <w:sz w:val="20"/>
                <w:szCs w:val="20"/>
              </w:rPr>
            </w:pPr>
            <w:r w:rsidRPr="003F63A9">
              <w:rPr>
                <w:rFonts w:ascii="Arial" w:hAnsi="Arial" w:cs="Arial"/>
                <w:color w:val="000000"/>
                <w:sz w:val="20"/>
                <w:szCs w:val="20"/>
              </w:rPr>
              <w:t>Cash at bank and in hand</w:t>
            </w:r>
          </w:p>
        </w:tc>
        <w:tc>
          <w:tcPr>
            <w:tcW w:w="1531" w:type="dxa"/>
            <w:tcBorders>
              <w:left w:val="nil"/>
              <w:right w:val="nil"/>
            </w:tcBorders>
            <w:vAlign w:val="bottom"/>
          </w:tcPr>
          <w:p w14:paraId="71380FE1" w14:textId="77777777" w:rsidR="008C676E" w:rsidRPr="003F63A9" w:rsidRDefault="008C676E" w:rsidP="00AB1DC6">
            <w:pPr>
              <w:autoSpaceDE w:val="0"/>
              <w:autoSpaceDN w:val="0"/>
              <w:adjustRightInd w:val="0"/>
              <w:spacing w:after="0" w:line="0" w:lineRule="atLeast"/>
              <w:jc w:val="right"/>
              <w:rPr>
                <w:rFonts w:ascii="Arial" w:hAnsi="Arial" w:cs="Arial"/>
                <w:b/>
                <w:bCs/>
                <w:color w:val="000000"/>
                <w:sz w:val="20"/>
                <w:szCs w:val="20"/>
              </w:rPr>
            </w:pPr>
            <w:r w:rsidRPr="003F63A9">
              <w:rPr>
                <w:rFonts w:ascii="Arial" w:hAnsi="Arial" w:cs="Arial"/>
                <w:b/>
                <w:bCs/>
                <w:color w:val="000000"/>
                <w:sz w:val="20"/>
                <w:szCs w:val="20"/>
              </w:rPr>
              <w:t>-</w:t>
            </w:r>
          </w:p>
        </w:tc>
        <w:tc>
          <w:tcPr>
            <w:tcW w:w="1531" w:type="dxa"/>
            <w:tcBorders>
              <w:left w:val="nil"/>
              <w:right w:val="nil"/>
            </w:tcBorders>
            <w:vAlign w:val="bottom"/>
          </w:tcPr>
          <w:p w14:paraId="0EC62D57" w14:textId="77777777" w:rsidR="008C676E" w:rsidRPr="003F63A9" w:rsidRDefault="008C676E" w:rsidP="00AB1DC6">
            <w:pPr>
              <w:autoSpaceDE w:val="0"/>
              <w:autoSpaceDN w:val="0"/>
              <w:adjustRightInd w:val="0"/>
              <w:spacing w:after="0" w:line="0" w:lineRule="atLeast"/>
              <w:jc w:val="right"/>
              <w:rPr>
                <w:rFonts w:ascii="Arial" w:hAnsi="Arial" w:cs="Arial"/>
                <w:color w:val="000000"/>
                <w:sz w:val="20"/>
                <w:szCs w:val="20"/>
              </w:rPr>
            </w:pPr>
            <w:r w:rsidRPr="003F63A9">
              <w:rPr>
                <w:rFonts w:ascii="Arial" w:hAnsi="Arial" w:cs="Arial"/>
                <w:color w:val="000000"/>
                <w:sz w:val="20"/>
                <w:szCs w:val="20"/>
              </w:rPr>
              <w:t>30.2</w:t>
            </w:r>
          </w:p>
        </w:tc>
      </w:tr>
      <w:tr w:rsidR="008C676E" w:rsidRPr="004D7811" w14:paraId="0691E67F" w14:textId="77777777" w:rsidTr="00AB1DC6">
        <w:trPr>
          <w:trHeight w:val="283"/>
        </w:trPr>
        <w:tc>
          <w:tcPr>
            <w:tcW w:w="6690" w:type="dxa"/>
            <w:tcBorders>
              <w:left w:val="nil"/>
              <w:right w:val="nil"/>
            </w:tcBorders>
            <w:vAlign w:val="bottom"/>
          </w:tcPr>
          <w:p w14:paraId="44BF4D78" w14:textId="77777777" w:rsidR="008C676E" w:rsidRPr="00410D54" w:rsidRDefault="008C676E" w:rsidP="00AB1DC6">
            <w:pPr>
              <w:autoSpaceDE w:val="0"/>
              <w:autoSpaceDN w:val="0"/>
              <w:adjustRightInd w:val="0"/>
              <w:spacing w:after="0" w:line="0" w:lineRule="atLeast"/>
              <w:rPr>
                <w:rFonts w:ascii="Arial" w:hAnsi="Arial" w:cs="Arial"/>
                <w:color w:val="000000"/>
                <w:sz w:val="20"/>
                <w:szCs w:val="20"/>
              </w:rPr>
            </w:pPr>
            <w:r w:rsidRPr="00410D54">
              <w:rPr>
                <w:rFonts w:ascii="Arial" w:hAnsi="Arial" w:cs="Arial"/>
                <w:color w:val="000000"/>
                <w:sz w:val="20"/>
                <w:szCs w:val="20"/>
              </w:rPr>
              <w:t>Bank overdrafts due within one year</w:t>
            </w:r>
          </w:p>
        </w:tc>
        <w:tc>
          <w:tcPr>
            <w:tcW w:w="1531" w:type="dxa"/>
            <w:tcBorders>
              <w:left w:val="nil"/>
              <w:right w:val="nil"/>
            </w:tcBorders>
            <w:vAlign w:val="bottom"/>
          </w:tcPr>
          <w:p w14:paraId="7A0BCAAF" w14:textId="77777777" w:rsidR="008C676E" w:rsidRPr="00410D54" w:rsidRDefault="008C676E" w:rsidP="00AB1DC6">
            <w:pPr>
              <w:autoSpaceDE w:val="0"/>
              <w:autoSpaceDN w:val="0"/>
              <w:adjustRightInd w:val="0"/>
              <w:spacing w:after="0" w:line="0" w:lineRule="atLeast"/>
              <w:jc w:val="right"/>
              <w:rPr>
                <w:rFonts w:ascii="Arial" w:hAnsi="Arial" w:cs="Arial"/>
                <w:b/>
                <w:bCs/>
                <w:color w:val="000000"/>
                <w:sz w:val="20"/>
                <w:szCs w:val="20"/>
              </w:rPr>
            </w:pPr>
            <w:r w:rsidRPr="00410D54">
              <w:rPr>
                <w:rFonts w:ascii="Arial" w:hAnsi="Arial" w:cs="Arial"/>
                <w:b/>
                <w:bCs/>
                <w:color w:val="000000"/>
                <w:sz w:val="20"/>
                <w:szCs w:val="20"/>
              </w:rPr>
              <w:t>(25.8)</w:t>
            </w:r>
          </w:p>
        </w:tc>
        <w:tc>
          <w:tcPr>
            <w:tcW w:w="1531" w:type="dxa"/>
            <w:tcBorders>
              <w:left w:val="nil"/>
              <w:right w:val="nil"/>
            </w:tcBorders>
            <w:vAlign w:val="bottom"/>
          </w:tcPr>
          <w:p w14:paraId="316B9077" w14:textId="77777777" w:rsidR="008C676E" w:rsidRPr="00410D54" w:rsidRDefault="008C676E" w:rsidP="00AB1DC6">
            <w:pPr>
              <w:autoSpaceDE w:val="0"/>
              <w:autoSpaceDN w:val="0"/>
              <w:adjustRightInd w:val="0"/>
              <w:spacing w:after="0" w:line="0" w:lineRule="atLeast"/>
              <w:jc w:val="right"/>
              <w:rPr>
                <w:rFonts w:ascii="Arial" w:hAnsi="Arial" w:cs="Arial"/>
                <w:color w:val="000000"/>
                <w:sz w:val="20"/>
                <w:szCs w:val="20"/>
              </w:rPr>
            </w:pPr>
            <w:r w:rsidRPr="00410D54">
              <w:rPr>
                <w:rFonts w:ascii="Arial" w:hAnsi="Arial" w:cs="Arial"/>
                <w:color w:val="000000"/>
                <w:sz w:val="20"/>
                <w:szCs w:val="20"/>
              </w:rPr>
              <w:t>-</w:t>
            </w:r>
          </w:p>
        </w:tc>
      </w:tr>
      <w:tr w:rsidR="008C676E" w:rsidRPr="004D7811" w14:paraId="5851D95D" w14:textId="77777777" w:rsidTr="00AB1DC6">
        <w:trPr>
          <w:trHeight w:val="283"/>
        </w:trPr>
        <w:tc>
          <w:tcPr>
            <w:tcW w:w="6690" w:type="dxa"/>
            <w:tcBorders>
              <w:left w:val="nil"/>
              <w:right w:val="nil"/>
            </w:tcBorders>
            <w:vAlign w:val="bottom"/>
          </w:tcPr>
          <w:p w14:paraId="264451A2" w14:textId="77777777" w:rsidR="008C676E" w:rsidRPr="0022781D" w:rsidRDefault="008C676E"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Bank loans due within one year</w:t>
            </w:r>
          </w:p>
        </w:tc>
        <w:tc>
          <w:tcPr>
            <w:tcW w:w="1531" w:type="dxa"/>
            <w:tcBorders>
              <w:left w:val="nil"/>
              <w:right w:val="nil"/>
            </w:tcBorders>
            <w:vAlign w:val="bottom"/>
          </w:tcPr>
          <w:p w14:paraId="25FC6FDF" w14:textId="77777777" w:rsidR="008C676E" w:rsidRPr="00AC7A9B" w:rsidRDefault="008C676E" w:rsidP="00AB1DC6">
            <w:pPr>
              <w:autoSpaceDE w:val="0"/>
              <w:autoSpaceDN w:val="0"/>
              <w:adjustRightInd w:val="0"/>
              <w:spacing w:after="0" w:line="0" w:lineRule="atLeast"/>
              <w:jc w:val="right"/>
              <w:rPr>
                <w:rFonts w:ascii="Arial" w:hAnsi="Arial" w:cs="Arial"/>
                <w:b/>
                <w:bCs/>
                <w:color w:val="000000"/>
                <w:sz w:val="20"/>
                <w:szCs w:val="20"/>
              </w:rPr>
            </w:pPr>
            <w:r w:rsidRPr="00AC7A9B">
              <w:rPr>
                <w:rFonts w:ascii="Arial" w:hAnsi="Arial" w:cs="Arial"/>
                <w:b/>
                <w:bCs/>
                <w:color w:val="000000"/>
                <w:sz w:val="20"/>
                <w:szCs w:val="20"/>
              </w:rPr>
              <w:t>(206.0)</w:t>
            </w:r>
          </w:p>
        </w:tc>
        <w:tc>
          <w:tcPr>
            <w:tcW w:w="1531" w:type="dxa"/>
            <w:tcBorders>
              <w:left w:val="nil"/>
              <w:right w:val="nil"/>
            </w:tcBorders>
            <w:vAlign w:val="bottom"/>
          </w:tcPr>
          <w:p w14:paraId="605C8471" w14:textId="77777777" w:rsidR="008C676E"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w:t>
            </w:r>
          </w:p>
        </w:tc>
      </w:tr>
      <w:tr w:rsidR="008C676E" w:rsidRPr="004D7811" w14:paraId="634EF10E" w14:textId="77777777" w:rsidTr="00AB1DC6">
        <w:trPr>
          <w:trHeight w:val="283"/>
        </w:trPr>
        <w:tc>
          <w:tcPr>
            <w:tcW w:w="6690" w:type="dxa"/>
            <w:tcBorders>
              <w:left w:val="nil"/>
              <w:right w:val="nil"/>
            </w:tcBorders>
            <w:vAlign w:val="bottom"/>
          </w:tcPr>
          <w:p w14:paraId="570C975B" w14:textId="77777777" w:rsidR="008C676E" w:rsidRPr="0022781D" w:rsidRDefault="008C676E" w:rsidP="00AB1DC6">
            <w:pPr>
              <w:autoSpaceDE w:val="0"/>
              <w:autoSpaceDN w:val="0"/>
              <w:adjustRightInd w:val="0"/>
              <w:spacing w:after="0" w:line="0" w:lineRule="atLeast"/>
              <w:rPr>
                <w:rFonts w:ascii="Arial" w:hAnsi="Arial" w:cs="Arial"/>
                <w:color w:val="000000"/>
                <w:sz w:val="20"/>
                <w:szCs w:val="20"/>
              </w:rPr>
            </w:pPr>
            <w:r w:rsidRPr="0022781D">
              <w:rPr>
                <w:rFonts w:ascii="Arial" w:hAnsi="Arial" w:cs="Arial"/>
                <w:color w:val="000000"/>
                <w:sz w:val="20"/>
                <w:szCs w:val="20"/>
              </w:rPr>
              <w:t>Bank loans due after one year</w:t>
            </w:r>
          </w:p>
        </w:tc>
        <w:tc>
          <w:tcPr>
            <w:tcW w:w="1531" w:type="dxa"/>
            <w:tcBorders>
              <w:left w:val="nil"/>
              <w:right w:val="nil"/>
            </w:tcBorders>
            <w:vAlign w:val="bottom"/>
          </w:tcPr>
          <w:p w14:paraId="19175E58" w14:textId="77777777" w:rsidR="008C676E" w:rsidRPr="00AC7A9B" w:rsidRDefault="008C676E" w:rsidP="00AB1DC6">
            <w:pPr>
              <w:autoSpaceDE w:val="0"/>
              <w:autoSpaceDN w:val="0"/>
              <w:adjustRightInd w:val="0"/>
              <w:spacing w:after="0" w:line="0" w:lineRule="atLeast"/>
              <w:jc w:val="right"/>
              <w:rPr>
                <w:rFonts w:ascii="Arial" w:hAnsi="Arial" w:cs="Arial"/>
                <w:b/>
                <w:bCs/>
                <w:color w:val="000000"/>
                <w:sz w:val="20"/>
                <w:szCs w:val="20"/>
              </w:rPr>
            </w:pPr>
            <w:r w:rsidRPr="00AC7A9B">
              <w:rPr>
                <w:rFonts w:ascii="Arial" w:hAnsi="Arial" w:cs="Arial"/>
                <w:b/>
                <w:bCs/>
                <w:color w:val="000000"/>
                <w:sz w:val="20"/>
                <w:szCs w:val="20"/>
              </w:rPr>
              <w:t>-</w:t>
            </w:r>
          </w:p>
        </w:tc>
        <w:tc>
          <w:tcPr>
            <w:tcW w:w="1531" w:type="dxa"/>
            <w:tcBorders>
              <w:left w:val="nil"/>
              <w:right w:val="nil"/>
            </w:tcBorders>
            <w:vAlign w:val="bottom"/>
          </w:tcPr>
          <w:p w14:paraId="308B191B" w14:textId="77777777" w:rsidR="008C676E" w:rsidRPr="0022781D"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(191.0)</w:t>
            </w:r>
          </w:p>
        </w:tc>
      </w:tr>
      <w:tr w:rsidR="008C676E" w:rsidRPr="004D7811" w14:paraId="61FC0AFD" w14:textId="77777777" w:rsidTr="00AB1DC6">
        <w:trPr>
          <w:trHeight w:val="283"/>
        </w:trPr>
        <w:tc>
          <w:tcPr>
            <w:tcW w:w="6690" w:type="dxa"/>
            <w:tcBorders>
              <w:left w:val="nil"/>
              <w:right w:val="nil"/>
            </w:tcBorders>
            <w:vAlign w:val="bottom"/>
          </w:tcPr>
          <w:p w14:paraId="66829487" w14:textId="77777777" w:rsidR="008C676E" w:rsidRPr="0022781D" w:rsidRDefault="008C676E" w:rsidP="00AB1DC6">
            <w:pPr>
              <w:autoSpaceDE w:val="0"/>
              <w:autoSpaceDN w:val="0"/>
              <w:adjustRightInd w:val="0"/>
              <w:spacing w:after="0" w:line="0" w:lineRule="atLeast"/>
              <w:rPr>
                <w:rFonts w:ascii="Arial" w:hAnsi="Arial" w:cs="Arial"/>
                <w:color w:val="000000"/>
                <w:sz w:val="20"/>
                <w:szCs w:val="20"/>
              </w:rPr>
            </w:pPr>
            <w:r w:rsidRPr="0022781D">
              <w:rPr>
                <w:rFonts w:ascii="Arial" w:hAnsi="Arial" w:cs="Arial"/>
                <w:color w:val="000000"/>
                <w:sz w:val="20"/>
                <w:szCs w:val="20"/>
              </w:rPr>
              <w:t>Leases due within one year</w:t>
            </w:r>
          </w:p>
        </w:tc>
        <w:tc>
          <w:tcPr>
            <w:tcW w:w="1531" w:type="dxa"/>
            <w:tcBorders>
              <w:left w:val="nil"/>
              <w:right w:val="nil"/>
            </w:tcBorders>
            <w:vAlign w:val="bottom"/>
          </w:tcPr>
          <w:p w14:paraId="3A88F535" w14:textId="4EE1DCA7" w:rsidR="008C676E" w:rsidRPr="00AC7A9B" w:rsidRDefault="008C676E" w:rsidP="00AB1DC6">
            <w:pPr>
              <w:autoSpaceDE w:val="0"/>
              <w:autoSpaceDN w:val="0"/>
              <w:adjustRightInd w:val="0"/>
              <w:spacing w:after="0" w:line="0" w:lineRule="atLeast"/>
              <w:jc w:val="right"/>
              <w:rPr>
                <w:rFonts w:ascii="Arial" w:hAnsi="Arial" w:cs="Arial"/>
                <w:b/>
                <w:bCs/>
                <w:color w:val="000000"/>
                <w:sz w:val="20"/>
                <w:szCs w:val="20"/>
              </w:rPr>
            </w:pPr>
            <w:r w:rsidRPr="00AC7A9B">
              <w:rPr>
                <w:rFonts w:ascii="Arial" w:hAnsi="Arial" w:cs="Arial"/>
                <w:b/>
                <w:bCs/>
                <w:color w:val="000000"/>
                <w:sz w:val="20"/>
                <w:szCs w:val="20"/>
              </w:rPr>
              <w:t>(</w:t>
            </w:r>
            <w:r>
              <w:rPr>
                <w:rFonts w:ascii="Arial" w:hAnsi="Arial" w:cs="Arial"/>
                <w:b/>
                <w:bCs/>
                <w:color w:val="000000"/>
                <w:sz w:val="20"/>
                <w:szCs w:val="20"/>
              </w:rPr>
              <w:t>9.</w:t>
            </w:r>
            <w:r w:rsidR="004F6977">
              <w:rPr>
                <w:rFonts w:ascii="Arial" w:hAnsi="Arial" w:cs="Arial"/>
                <w:b/>
                <w:bCs/>
                <w:color w:val="000000"/>
                <w:sz w:val="20"/>
                <w:szCs w:val="20"/>
              </w:rPr>
              <w:t>4</w:t>
            </w:r>
            <w:r w:rsidRPr="00AC7A9B">
              <w:rPr>
                <w:rFonts w:ascii="Arial" w:hAnsi="Arial" w:cs="Arial"/>
                <w:b/>
                <w:bCs/>
                <w:color w:val="000000"/>
                <w:sz w:val="20"/>
                <w:szCs w:val="20"/>
              </w:rPr>
              <w:t>)</w:t>
            </w:r>
          </w:p>
        </w:tc>
        <w:tc>
          <w:tcPr>
            <w:tcW w:w="1531" w:type="dxa"/>
            <w:tcBorders>
              <w:left w:val="nil"/>
              <w:right w:val="nil"/>
            </w:tcBorders>
            <w:vAlign w:val="bottom"/>
          </w:tcPr>
          <w:p w14:paraId="3333B6E4" w14:textId="77777777" w:rsidR="008C676E" w:rsidRPr="0022781D"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(9.7)</w:t>
            </w:r>
          </w:p>
        </w:tc>
      </w:tr>
      <w:tr w:rsidR="008C676E" w:rsidRPr="004D7811" w14:paraId="157590B4" w14:textId="77777777" w:rsidTr="00AB1DC6">
        <w:trPr>
          <w:trHeight w:val="283"/>
        </w:trPr>
        <w:tc>
          <w:tcPr>
            <w:tcW w:w="6690" w:type="dxa"/>
            <w:tcBorders>
              <w:left w:val="nil"/>
              <w:bottom w:val="single" w:sz="4" w:space="0" w:color="auto"/>
              <w:right w:val="nil"/>
            </w:tcBorders>
            <w:shd w:val="clear" w:color="auto" w:fill="auto"/>
            <w:vAlign w:val="bottom"/>
          </w:tcPr>
          <w:p w14:paraId="1D3E74AA" w14:textId="77777777" w:rsidR="008C676E" w:rsidRPr="0022781D" w:rsidRDefault="008C676E" w:rsidP="00AB1DC6">
            <w:pPr>
              <w:autoSpaceDE w:val="0"/>
              <w:autoSpaceDN w:val="0"/>
              <w:adjustRightInd w:val="0"/>
              <w:spacing w:after="0" w:line="0" w:lineRule="atLeast"/>
              <w:rPr>
                <w:rFonts w:ascii="Arial" w:hAnsi="Arial" w:cs="Arial"/>
                <w:color w:val="000000"/>
                <w:sz w:val="20"/>
                <w:szCs w:val="20"/>
              </w:rPr>
            </w:pPr>
            <w:r w:rsidRPr="0022781D">
              <w:rPr>
                <w:rFonts w:ascii="Arial" w:hAnsi="Arial" w:cs="Arial"/>
                <w:color w:val="000000"/>
                <w:sz w:val="20"/>
                <w:szCs w:val="20"/>
              </w:rPr>
              <w:t>Leases due after one year</w:t>
            </w:r>
          </w:p>
        </w:tc>
        <w:tc>
          <w:tcPr>
            <w:tcW w:w="1531" w:type="dxa"/>
            <w:tcBorders>
              <w:left w:val="nil"/>
              <w:bottom w:val="single" w:sz="4" w:space="0" w:color="auto"/>
              <w:right w:val="nil"/>
            </w:tcBorders>
            <w:vAlign w:val="bottom"/>
          </w:tcPr>
          <w:p w14:paraId="000E4EB1" w14:textId="49DAC6AA" w:rsidR="008C676E" w:rsidRPr="00AC7A9B" w:rsidRDefault="008C676E" w:rsidP="00AB1DC6">
            <w:pPr>
              <w:autoSpaceDE w:val="0"/>
              <w:autoSpaceDN w:val="0"/>
              <w:adjustRightInd w:val="0"/>
              <w:spacing w:after="0" w:line="0" w:lineRule="atLeast"/>
              <w:jc w:val="right"/>
              <w:rPr>
                <w:rFonts w:ascii="Arial" w:hAnsi="Arial" w:cs="Arial"/>
                <w:b/>
                <w:bCs/>
                <w:color w:val="000000"/>
                <w:sz w:val="20"/>
                <w:szCs w:val="20"/>
              </w:rPr>
            </w:pPr>
            <w:r w:rsidRPr="00AC7A9B">
              <w:rPr>
                <w:rFonts w:ascii="Arial" w:hAnsi="Arial" w:cs="Arial"/>
                <w:b/>
                <w:bCs/>
                <w:color w:val="000000"/>
                <w:sz w:val="20"/>
                <w:szCs w:val="20"/>
              </w:rPr>
              <w:t>(</w:t>
            </w:r>
            <w:r>
              <w:rPr>
                <w:rFonts w:ascii="Arial" w:hAnsi="Arial" w:cs="Arial"/>
                <w:b/>
                <w:bCs/>
                <w:color w:val="000000"/>
                <w:sz w:val="20"/>
                <w:szCs w:val="20"/>
              </w:rPr>
              <w:t>1</w:t>
            </w:r>
            <w:r w:rsidR="004F6977">
              <w:rPr>
                <w:rFonts w:ascii="Arial" w:hAnsi="Arial" w:cs="Arial"/>
                <w:b/>
                <w:bCs/>
                <w:color w:val="000000"/>
                <w:sz w:val="20"/>
                <w:szCs w:val="20"/>
              </w:rPr>
              <w:t>6.9</w:t>
            </w:r>
            <w:r w:rsidRPr="00AC7A9B">
              <w:rPr>
                <w:rFonts w:ascii="Arial" w:hAnsi="Arial" w:cs="Arial"/>
                <w:b/>
                <w:bCs/>
                <w:color w:val="000000"/>
                <w:sz w:val="20"/>
                <w:szCs w:val="20"/>
              </w:rPr>
              <w:t>)</w:t>
            </w:r>
          </w:p>
        </w:tc>
        <w:tc>
          <w:tcPr>
            <w:tcW w:w="1531" w:type="dxa"/>
            <w:tcBorders>
              <w:left w:val="nil"/>
              <w:bottom w:val="single" w:sz="4" w:space="0" w:color="auto"/>
              <w:right w:val="nil"/>
            </w:tcBorders>
            <w:shd w:val="clear" w:color="auto" w:fill="auto"/>
            <w:vAlign w:val="bottom"/>
          </w:tcPr>
          <w:p w14:paraId="3FED80DE" w14:textId="77777777" w:rsidR="008C676E" w:rsidRPr="0022781D"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(18.4)</w:t>
            </w:r>
          </w:p>
        </w:tc>
      </w:tr>
      <w:tr w:rsidR="008C676E" w:rsidRPr="004D7811" w14:paraId="52E536E8" w14:textId="77777777" w:rsidTr="00AB1DC6">
        <w:trPr>
          <w:trHeight w:val="283"/>
        </w:trPr>
        <w:tc>
          <w:tcPr>
            <w:tcW w:w="6690" w:type="dxa"/>
            <w:tcBorders>
              <w:top w:val="single" w:sz="4" w:space="0" w:color="auto"/>
              <w:left w:val="nil"/>
              <w:bottom w:val="single" w:sz="4" w:space="0" w:color="auto"/>
              <w:right w:val="nil"/>
            </w:tcBorders>
            <w:shd w:val="clear" w:color="auto" w:fill="auto"/>
            <w:vAlign w:val="bottom"/>
          </w:tcPr>
          <w:p w14:paraId="5A3D1883" w14:textId="77777777" w:rsidR="008C676E" w:rsidRPr="00B140D5" w:rsidRDefault="008C676E" w:rsidP="00AB1DC6">
            <w:pPr>
              <w:autoSpaceDE w:val="0"/>
              <w:autoSpaceDN w:val="0"/>
              <w:adjustRightInd w:val="0"/>
              <w:spacing w:after="0" w:line="0" w:lineRule="atLeast"/>
              <w:rPr>
                <w:rFonts w:ascii="Arial" w:eastAsia="Times New Roman" w:hAnsi="Arial" w:cs="Arial"/>
                <w:b/>
                <w:bCs/>
                <w:color w:val="000000"/>
                <w:sz w:val="20"/>
                <w:szCs w:val="20"/>
                <w:lang w:eastAsia="en-GB"/>
              </w:rPr>
            </w:pPr>
            <w:r w:rsidRPr="00B140D5">
              <w:rPr>
                <w:rFonts w:ascii="Arial" w:eastAsia="Times New Roman" w:hAnsi="Arial" w:cs="Arial"/>
                <w:b/>
                <w:bCs/>
                <w:color w:val="000000"/>
                <w:sz w:val="20"/>
                <w:szCs w:val="20"/>
                <w:lang w:eastAsia="en-GB"/>
              </w:rPr>
              <w:t>Net debt</w:t>
            </w:r>
            <w:r>
              <w:rPr>
                <w:rFonts w:ascii="Arial" w:eastAsia="Times New Roman" w:hAnsi="Arial" w:cs="Arial"/>
                <w:b/>
                <w:bCs/>
                <w:color w:val="000000"/>
                <w:sz w:val="20"/>
                <w:szCs w:val="20"/>
                <w:lang w:eastAsia="en-GB"/>
              </w:rPr>
              <w:t xml:space="preserve"> for continuing operations</w:t>
            </w:r>
          </w:p>
        </w:tc>
        <w:tc>
          <w:tcPr>
            <w:tcW w:w="1531" w:type="dxa"/>
            <w:tcBorders>
              <w:top w:val="single" w:sz="4" w:space="0" w:color="auto"/>
              <w:left w:val="nil"/>
              <w:bottom w:val="single" w:sz="4" w:space="0" w:color="auto"/>
              <w:right w:val="nil"/>
            </w:tcBorders>
            <w:vAlign w:val="bottom"/>
          </w:tcPr>
          <w:p w14:paraId="74E25299" w14:textId="690432FC" w:rsidR="008C676E" w:rsidRPr="00AC7A9B" w:rsidRDefault="008C676E" w:rsidP="00AB1DC6">
            <w:pPr>
              <w:autoSpaceDE w:val="0"/>
              <w:autoSpaceDN w:val="0"/>
              <w:adjustRightInd w:val="0"/>
              <w:spacing w:after="0" w:line="0" w:lineRule="atLeast"/>
              <w:jc w:val="right"/>
              <w:rPr>
                <w:rFonts w:ascii="Arial" w:hAnsi="Arial" w:cs="Arial"/>
                <w:b/>
                <w:bCs/>
                <w:color w:val="000000"/>
                <w:sz w:val="20"/>
                <w:szCs w:val="20"/>
              </w:rPr>
            </w:pPr>
            <w:r w:rsidRPr="00AC7A9B">
              <w:rPr>
                <w:rFonts w:ascii="Arial" w:hAnsi="Arial" w:cs="Arial"/>
                <w:b/>
                <w:bCs/>
                <w:color w:val="000000"/>
                <w:sz w:val="20"/>
                <w:szCs w:val="20"/>
              </w:rPr>
              <w:t>(</w:t>
            </w:r>
            <w:r>
              <w:rPr>
                <w:rFonts w:ascii="Arial" w:hAnsi="Arial" w:cs="Arial"/>
                <w:b/>
                <w:bCs/>
                <w:color w:val="000000"/>
                <w:sz w:val="20"/>
                <w:szCs w:val="20"/>
              </w:rPr>
              <w:t>258.</w:t>
            </w:r>
            <w:r w:rsidR="004F6977">
              <w:rPr>
                <w:rFonts w:ascii="Arial" w:hAnsi="Arial" w:cs="Arial"/>
                <w:b/>
                <w:bCs/>
                <w:color w:val="000000"/>
                <w:sz w:val="20"/>
                <w:szCs w:val="20"/>
              </w:rPr>
              <w:t>1</w:t>
            </w:r>
            <w:r>
              <w:rPr>
                <w:rFonts w:ascii="Arial" w:hAnsi="Arial" w:cs="Arial"/>
                <w:b/>
                <w:bCs/>
                <w:color w:val="000000"/>
                <w:sz w:val="20"/>
                <w:szCs w:val="20"/>
              </w:rPr>
              <w:t>)</w:t>
            </w:r>
          </w:p>
        </w:tc>
        <w:tc>
          <w:tcPr>
            <w:tcW w:w="1531" w:type="dxa"/>
            <w:tcBorders>
              <w:top w:val="single" w:sz="4" w:space="0" w:color="auto"/>
              <w:left w:val="nil"/>
              <w:bottom w:val="single" w:sz="4" w:space="0" w:color="auto"/>
              <w:right w:val="nil"/>
            </w:tcBorders>
            <w:shd w:val="clear" w:color="auto" w:fill="auto"/>
            <w:vAlign w:val="bottom"/>
          </w:tcPr>
          <w:p w14:paraId="29879ED6" w14:textId="77777777" w:rsidR="008C676E" w:rsidRPr="0022781D"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(188.9)</w:t>
            </w:r>
          </w:p>
        </w:tc>
      </w:tr>
      <w:tr w:rsidR="008C676E" w:rsidRPr="004D7811" w14:paraId="4ED35CFB" w14:textId="77777777" w:rsidTr="00F72BA1">
        <w:trPr>
          <w:trHeight w:val="283"/>
        </w:trPr>
        <w:tc>
          <w:tcPr>
            <w:tcW w:w="6690" w:type="dxa"/>
            <w:tcBorders>
              <w:top w:val="single" w:sz="4" w:space="0" w:color="auto"/>
              <w:left w:val="nil"/>
              <w:right w:val="nil"/>
            </w:tcBorders>
            <w:shd w:val="clear" w:color="auto" w:fill="auto"/>
            <w:vAlign w:val="bottom"/>
          </w:tcPr>
          <w:p w14:paraId="3E7840D7" w14:textId="77777777" w:rsidR="008C676E" w:rsidRPr="00B140D5" w:rsidRDefault="008C676E" w:rsidP="00AB1DC6">
            <w:pPr>
              <w:autoSpaceDE w:val="0"/>
              <w:autoSpaceDN w:val="0"/>
              <w:adjustRightInd w:val="0"/>
              <w:spacing w:after="0" w:line="0" w:lineRule="atLeast"/>
              <w:rPr>
                <w:rFonts w:ascii="Arial" w:eastAsia="Times New Roman" w:hAnsi="Arial" w:cs="Arial"/>
                <w:b/>
                <w:bCs/>
                <w:color w:val="000000"/>
                <w:sz w:val="20"/>
                <w:szCs w:val="20"/>
                <w:lang w:eastAsia="en-GB"/>
              </w:rPr>
            </w:pPr>
            <w:r>
              <w:rPr>
                <w:rFonts w:ascii="Arial" w:hAnsi="Arial" w:cs="Arial"/>
                <w:b/>
                <w:bCs/>
                <w:i/>
                <w:iCs/>
                <w:color w:val="000000"/>
                <w:sz w:val="20"/>
                <w:szCs w:val="20"/>
              </w:rPr>
              <w:t>Disc</w:t>
            </w:r>
            <w:r w:rsidRPr="005D5DCC">
              <w:rPr>
                <w:rFonts w:ascii="Arial" w:hAnsi="Arial" w:cs="Arial"/>
                <w:b/>
                <w:bCs/>
                <w:i/>
                <w:iCs/>
                <w:color w:val="000000"/>
                <w:sz w:val="20"/>
                <w:szCs w:val="20"/>
              </w:rPr>
              <w:t>ontinuing Operations:</w:t>
            </w:r>
          </w:p>
        </w:tc>
        <w:tc>
          <w:tcPr>
            <w:tcW w:w="1531" w:type="dxa"/>
            <w:tcBorders>
              <w:top w:val="single" w:sz="4" w:space="0" w:color="auto"/>
              <w:left w:val="nil"/>
              <w:right w:val="nil"/>
            </w:tcBorders>
            <w:vAlign w:val="bottom"/>
          </w:tcPr>
          <w:p w14:paraId="265C5ACA" w14:textId="77777777" w:rsidR="008C676E" w:rsidRPr="00AC7A9B" w:rsidRDefault="008C676E" w:rsidP="00AB1DC6">
            <w:pPr>
              <w:autoSpaceDE w:val="0"/>
              <w:autoSpaceDN w:val="0"/>
              <w:adjustRightInd w:val="0"/>
              <w:spacing w:after="0" w:line="0" w:lineRule="atLeast"/>
              <w:jc w:val="right"/>
              <w:rPr>
                <w:rFonts w:ascii="Arial" w:hAnsi="Arial" w:cs="Arial"/>
                <w:b/>
                <w:bCs/>
                <w:color w:val="000000"/>
                <w:sz w:val="20"/>
                <w:szCs w:val="20"/>
              </w:rPr>
            </w:pPr>
          </w:p>
        </w:tc>
        <w:tc>
          <w:tcPr>
            <w:tcW w:w="1531" w:type="dxa"/>
            <w:tcBorders>
              <w:top w:val="single" w:sz="4" w:space="0" w:color="auto"/>
              <w:left w:val="nil"/>
              <w:right w:val="nil"/>
            </w:tcBorders>
            <w:shd w:val="clear" w:color="auto" w:fill="auto"/>
            <w:vAlign w:val="bottom"/>
          </w:tcPr>
          <w:p w14:paraId="4013B353" w14:textId="77777777" w:rsidR="008C676E" w:rsidRDefault="008C676E"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13B63B1B" w14:textId="77777777" w:rsidTr="00F72BA1">
        <w:trPr>
          <w:trHeight w:val="283"/>
        </w:trPr>
        <w:tc>
          <w:tcPr>
            <w:tcW w:w="6690" w:type="dxa"/>
            <w:tcBorders>
              <w:left w:val="nil"/>
              <w:right w:val="nil"/>
            </w:tcBorders>
            <w:shd w:val="clear" w:color="auto" w:fill="auto"/>
            <w:vAlign w:val="bottom"/>
          </w:tcPr>
          <w:p w14:paraId="1DA2DD41" w14:textId="77777777" w:rsidR="008C676E" w:rsidRPr="00B140D5" w:rsidRDefault="008C676E" w:rsidP="00AB1DC6">
            <w:pPr>
              <w:autoSpaceDE w:val="0"/>
              <w:autoSpaceDN w:val="0"/>
              <w:adjustRightInd w:val="0"/>
              <w:spacing w:after="0" w:line="0" w:lineRule="atLeast"/>
              <w:rPr>
                <w:rFonts w:ascii="Arial" w:eastAsia="Times New Roman" w:hAnsi="Arial" w:cs="Arial"/>
                <w:b/>
                <w:bCs/>
                <w:color w:val="000000"/>
                <w:sz w:val="20"/>
                <w:szCs w:val="20"/>
                <w:lang w:eastAsia="en-GB"/>
              </w:rPr>
            </w:pPr>
            <w:r w:rsidRPr="003F63A9">
              <w:rPr>
                <w:rFonts w:ascii="Arial" w:hAnsi="Arial" w:cs="Arial"/>
                <w:color w:val="000000"/>
                <w:sz w:val="20"/>
                <w:szCs w:val="20"/>
              </w:rPr>
              <w:t>Cash at bank and in hand</w:t>
            </w:r>
          </w:p>
        </w:tc>
        <w:tc>
          <w:tcPr>
            <w:tcW w:w="1531" w:type="dxa"/>
            <w:tcBorders>
              <w:left w:val="nil"/>
              <w:right w:val="nil"/>
            </w:tcBorders>
            <w:vAlign w:val="bottom"/>
          </w:tcPr>
          <w:p w14:paraId="0C0ED8D0" w14:textId="77777777" w:rsidR="008C676E" w:rsidRPr="00AC7A9B"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55.2</w:t>
            </w:r>
          </w:p>
        </w:tc>
        <w:tc>
          <w:tcPr>
            <w:tcW w:w="1531" w:type="dxa"/>
            <w:tcBorders>
              <w:left w:val="nil"/>
              <w:right w:val="nil"/>
            </w:tcBorders>
            <w:shd w:val="clear" w:color="auto" w:fill="auto"/>
            <w:vAlign w:val="bottom"/>
          </w:tcPr>
          <w:p w14:paraId="30A06101" w14:textId="77777777" w:rsidR="008C676E"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w:t>
            </w:r>
          </w:p>
        </w:tc>
      </w:tr>
      <w:tr w:rsidR="004F6977" w:rsidRPr="004D7811" w14:paraId="74F2EF84" w14:textId="77777777" w:rsidTr="00F72BA1">
        <w:trPr>
          <w:trHeight w:val="283"/>
        </w:trPr>
        <w:tc>
          <w:tcPr>
            <w:tcW w:w="6690" w:type="dxa"/>
            <w:tcBorders>
              <w:left w:val="nil"/>
              <w:right w:val="nil"/>
            </w:tcBorders>
            <w:shd w:val="clear" w:color="auto" w:fill="auto"/>
            <w:vAlign w:val="bottom"/>
          </w:tcPr>
          <w:p w14:paraId="69777345" w14:textId="3506F8AB" w:rsidR="004F6977" w:rsidRPr="003F63A9" w:rsidRDefault="004F6977"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Leases due within one year</w:t>
            </w:r>
          </w:p>
        </w:tc>
        <w:tc>
          <w:tcPr>
            <w:tcW w:w="1531" w:type="dxa"/>
            <w:tcBorders>
              <w:left w:val="nil"/>
              <w:right w:val="nil"/>
            </w:tcBorders>
            <w:vAlign w:val="bottom"/>
          </w:tcPr>
          <w:p w14:paraId="268E0339" w14:textId="681BFA00" w:rsidR="004F6977" w:rsidRDefault="004F6977"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(0.1)</w:t>
            </w:r>
          </w:p>
        </w:tc>
        <w:tc>
          <w:tcPr>
            <w:tcW w:w="1531" w:type="dxa"/>
            <w:tcBorders>
              <w:left w:val="nil"/>
              <w:right w:val="nil"/>
            </w:tcBorders>
            <w:shd w:val="clear" w:color="auto" w:fill="auto"/>
            <w:vAlign w:val="bottom"/>
          </w:tcPr>
          <w:p w14:paraId="311E5D6D" w14:textId="4F6E4C5A" w:rsidR="004F6977" w:rsidRDefault="004F6977"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w:t>
            </w:r>
          </w:p>
        </w:tc>
      </w:tr>
      <w:tr w:rsidR="004F6977" w:rsidRPr="004D7811" w14:paraId="70C329B5" w14:textId="77777777" w:rsidTr="00F72BA1">
        <w:trPr>
          <w:trHeight w:val="283"/>
        </w:trPr>
        <w:tc>
          <w:tcPr>
            <w:tcW w:w="6690" w:type="dxa"/>
            <w:tcBorders>
              <w:left w:val="nil"/>
              <w:bottom w:val="double" w:sz="4" w:space="0" w:color="auto"/>
              <w:right w:val="nil"/>
            </w:tcBorders>
            <w:shd w:val="clear" w:color="auto" w:fill="auto"/>
            <w:vAlign w:val="bottom"/>
          </w:tcPr>
          <w:p w14:paraId="1DF0E3D3" w14:textId="05DCAF0D" w:rsidR="004F6977" w:rsidRPr="003F63A9" w:rsidRDefault="004F6977" w:rsidP="00AB1DC6">
            <w:pPr>
              <w:autoSpaceDE w:val="0"/>
              <w:autoSpaceDN w:val="0"/>
              <w:adjustRightInd w:val="0"/>
              <w:spacing w:after="0" w:line="0" w:lineRule="atLeast"/>
              <w:rPr>
                <w:rFonts w:ascii="Arial" w:hAnsi="Arial" w:cs="Arial"/>
                <w:color w:val="000000"/>
                <w:sz w:val="20"/>
                <w:szCs w:val="20"/>
              </w:rPr>
            </w:pPr>
            <w:r>
              <w:rPr>
                <w:rFonts w:ascii="Arial" w:hAnsi="Arial" w:cs="Arial"/>
                <w:color w:val="000000"/>
                <w:sz w:val="20"/>
                <w:szCs w:val="20"/>
              </w:rPr>
              <w:t>Leases due after one year</w:t>
            </w:r>
          </w:p>
        </w:tc>
        <w:tc>
          <w:tcPr>
            <w:tcW w:w="1531" w:type="dxa"/>
            <w:tcBorders>
              <w:left w:val="nil"/>
              <w:bottom w:val="double" w:sz="4" w:space="0" w:color="auto"/>
              <w:right w:val="nil"/>
            </w:tcBorders>
            <w:vAlign w:val="bottom"/>
          </w:tcPr>
          <w:p w14:paraId="3D60CF59" w14:textId="77DFF873" w:rsidR="004F6977" w:rsidRDefault="004F6977"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(0.2)</w:t>
            </w:r>
          </w:p>
        </w:tc>
        <w:tc>
          <w:tcPr>
            <w:tcW w:w="1531" w:type="dxa"/>
            <w:tcBorders>
              <w:left w:val="nil"/>
              <w:bottom w:val="double" w:sz="4" w:space="0" w:color="auto"/>
              <w:right w:val="nil"/>
            </w:tcBorders>
            <w:shd w:val="clear" w:color="auto" w:fill="auto"/>
            <w:vAlign w:val="bottom"/>
          </w:tcPr>
          <w:p w14:paraId="45FF5DED" w14:textId="77777777" w:rsidR="004F6977" w:rsidRDefault="004F6977" w:rsidP="00AB1DC6">
            <w:pPr>
              <w:autoSpaceDE w:val="0"/>
              <w:autoSpaceDN w:val="0"/>
              <w:adjustRightInd w:val="0"/>
              <w:spacing w:after="0" w:line="0" w:lineRule="atLeast"/>
              <w:jc w:val="right"/>
              <w:rPr>
                <w:rFonts w:ascii="Arial" w:hAnsi="Arial" w:cs="Arial"/>
                <w:color w:val="000000"/>
                <w:sz w:val="20"/>
                <w:szCs w:val="20"/>
              </w:rPr>
            </w:pPr>
          </w:p>
        </w:tc>
      </w:tr>
      <w:tr w:rsidR="008C676E" w:rsidRPr="004D7811" w14:paraId="71A4A3D1" w14:textId="77777777" w:rsidTr="00AB1DC6">
        <w:trPr>
          <w:trHeight w:val="283"/>
        </w:trPr>
        <w:tc>
          <w:tcPr>
            <w:tcW w:w="6690" w:type="dxa"/>
            <w:tcBorders>
              <w:top w:val="single" w:sz="4" w:space="0" w:color="auto"/>
              <w:left w:val="nil"/>
              <w:bottom w:val="double" w:sz="4" w:space="0" w:color="auto"/>
              <w:right w:val="nil"/>
            </w:tcBorders>
            <w:shd w:val="clear" w:color="auto" w:fill="auto"/>
            <w:vAlign w:val="bottom"/>
          </w:tcPr>
          <w:p w14:paraId="5106492F" w14:textId="77777777" w:rsidR="008C676E" w:rsidRPr="00B140D5" w:rsidRDefault="008C676E" w:rsidP="00AB1DC6">
            <w:pPr>
              <w:autoSpaceDE w:val="0"/>
              <w:autoSpaceDN w:val="0"/>
              <w:adjustRightInd w:val="0"/>
              <w:spacing w:after="0" w:line="0" w:lineRule="atLeas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Net debt for total Group</w:t>
            </w:r>
          </w:p>
        </w:tc>
        <w:tc>
          <w:tcPr>
            <w:tcW w:w="1531" w:type="dxa"/>
            <w:tcBorders>
              <w:top w:val="single" w:sz="4" w:space="0" w:color="auto"/>
              <w:left w:val="nil"/>
              <w:bottom w:val="double" w:sz="4" w:space="0" w:color="auto"/>
              <w:right w:val="nil"/>
            </w:tcBorders>
            <w:vAlign w:val="bottom"/>
          </w:tcPr>
          <w:p w14:paraId="793269C3" w14:textId="6124D579" w:rsidR="008C676E" w:rsidRPr="00AC7A9B" w:rsidRDefault="008C676E" w:rsidP="00AB1DC6">
            <w:pPr>
              <w:autoSpaceDE w:val="0"/>
              <w:autoSpaceDN w:val="0"/>
              <w:adjustRightInd w:val="0"/>
              <w:spacing w:after="0" w:line="0" w:lineRule="atLeast"/>
              <w:jc w:val="right"/>
              <w:rPr>
                <w:rFonts w:ascii="Arial" w:hAnsi="Arial" w:cs="Arial"/>
                <w:b/>
                <w:bCs/>
                <w:color w:val="000000"/>
                <w:sz w:val="20"/>
                <w:szCs w:val="20"/>
              </w:rPr>
            </w:pPr>
            <w:r>
              <w:rPr>
                <w:rFonts w:ascii="Arial" w:hAnsi="Arial" w:cs="Arial"/>
                <w:b/>
                <w:bCs/>
                <w:color w:val="000000"/>
                <w:sz w:val="20"/>
                <w:szCs w:val="20"/>
              </w:rPr>
              <w:t>(20</w:t>
            </w:r>
            <w:r w:rsidR="008D05A6">
              <w:rPr>
                <w:rFonts w:ascii="Arial" w:hAnsi="Arial" w:cs="Arial"/>
                <w:b/>
                <w:bCs/>
                <w:color w:val="000000"/>
                <w:sz w:val="20"/>
                <w:szCs w:val="20"/>
              </w:rPr>
              <w:t>3.2</w:t>
            </w:r>
            <w:r>
              <w:rPr>
                <w:rFonts w:ascii="Arial" w:hAnsi="Arial" w:cs="Arial"/>
                <w:b/>
                <w:bCs/>
                <w:color w:val="000000"/>
                <w:sz w:val="20"/>
                <w:szCs w:val="20"/>
              </w:rPr>
              <w:t>)</w:t>
            </w:r>
          </w:p>
        </w:tc>
        <w:tc>
          <w:tcPr>
            <w:tcW w:w="1531" w:type="dxa"/>
            <w:tcBorders>
              <w:top w:val="single" w:sz="4" w:space="0" w:color="auto"/>
              <w:left w:val="nil"/>
              <w:bottom w:val="double" w:sz="4" w:space="0" w:color="auto"/>
              <w:right w:val="nil"/>
            </w:tcBorders>
            <w:shd w:val="clear" w:color="auto" w:fill="auto"/>
            <w:vAlign w:val="bottom"/>
          </w:tcPr>
          <w:p w14:paraId="1E1047F1" w14:textId="77777777" w:rsidR="008C676E" w:rsidRDefault="008C676E" w:rsidP="00AB1DC6">
            <w:pPr>
              <w:autoSpaceDE w:val="0"/>
              <w:autoSpaceDN w:val="0"/>
              <w:adjustRightInd w:val="0"/>
              <w:spacing w:after="0" w:line="0" w:lineRule="atLeast"/>
              <w:jc w:val="right"/>
              <w:rPr>
                <w:rFonts w:ascii="Arial" w:hAnsi="Arial" w:cs="Arial"/>
                <w:color w:val="000000"/>
                <w:sz w:val="20"/>
                <w:szCs w:val="20"/>
              </w:rPr>
            </w:pPr>
            <w:r>
              <w:rPr>
                <w:rFonts w:ascii="Arial" w:hAnsi="Arial" w:cs="Arial"/>
                <w:color w:val="000000"/>
                <w:sz w:val="20"/>
                <w:szCs w:val="20"/>
              </w:rPr>
              <w:t>(188.9)</w:t>
            </w:r>
          </w:p>
        </w:tc>
      </w:tr>
    </w:tbl>
    <w:p w14:paraId="2E1C0407" w14:textId="49071817" w:rsidR="00B90303" w:rsidRDefault="00B90303" w:rsidP="008C676E">
      <w:pPr>
        <w:spacing w:after="0"/>
        <w:rPr>
          <w:rFonts w:ascii="Arial" w:eastAsia="Times New Roman" w:hAnsi="Arial" w:cs="Arial"/>
          <w:b/>
          <w:bCs/>
          <w:color w:val="000000"/>
          <w:sz w:val="20"/>
          <w:szCs w:val="20"/>
          <w:lang w:eastAsia="en-GB"/>
        </w:rPr>
      </w:pPr>
    </w:p>
    <w:p w14:paraId="20337B7A" w14:textId="77777777" w:rsidR="008A1149" w:rsidRDefault="008A1149" w:rsidP="008A1149">
      <w:pPr>
        <w:spacing w:after="0"/>
        <w:jc w:val="both"/>
        <w:rPr>
          <w:rFonts w:ascii="Arial" w:eastAsia="Times New Roman" w:hAnsi="Arial" w:cs="Arial"/>
          <w:b/>
          <w:bCs/>
          <w:color w:val="000000"/>
          <w:sz w:val="20"/>
          <w:szCs w:val="20"/>
          <w:lang w:eastAsia="en-GB"/>
        </w:rPr>
      </w:pPr>
      <w:r w:rsidRPr="00672014">
        <w:rPr>
          <w:rFonts w:ascii="Arial" w:eastAsia="Times New Roman" w:hAnsi="Arial" w:cs="Arial"/>
          <w:b/>
          <w:bCs/>
          <w:color w:val="000000"/>
          <w:sz w:val="20"/>
          <w:szCs w:val="20"/>
          <w:lang w:eastAsia="en-GB"/>
        </w:rPr>
        <w:t>Borrowing facilities</w:t>
      </w:r>
    </w:p>
    <w:p w14:paraId="7214B176" w14:textId="77777777" w:rsidR="008A1149" w:rsidRPr="00413B1D" w:rsidRDefault="008A1149" w:rsidP="008A1149">
      <w:pPr>
        <w:spacing w:after="0"/>
        <w:jc w:val="both"/>
        <w:rPr>
          <w:rFonts w:ascii="Arial" w:eastAsia="Times New Roman" w:hAnsi="Arial" w:cs="Arial"/>
          <w:color w:val="000000"/>
          <w:sz w:val="20"/>
          <w:szCs w:val="20"/>
          <w:lang w:eastAsia="en-GB"/>
        </w:rPr>
      </w:pPr>
      <w:proofErr w:type="gramStart"/>
      <w:r w:rsidRPr="00413B1D">
        <w:rPr>
          <w:rFonts w:ascii="Arial" w:eastAsia="Times New Roman" w:hAnsi="Arial" w:cs="Arial"/>
          <w:color w:val="000000"/>
          <w:sz w:val="20"/>
          <w:szCs w:val="20"/>
          <w:lang w:eastAsia="en-GB"/>
        </w:rPr>
        <w:t>At</w:t>
      </w:r>
      <w:proofErr w:type="gramEnd"/>
      <w:r w:rsidRPr="00413B1D">
        <w:rPr>
          <w:rFonts w:ascii="Arial" w:eastAsia="Times New Roman" w:hAnsi="Arial" w:cs="Arial"/>
          <w:color w:val="000000"/>
          <w:sz w:val="20"/>
          <w:szCs w:val="20"/>
          <w:lang w:eastAsia="en-GB"/>
        </w:rPr>
        <w:t xml:space="preserve"> 31 March 2024, the Group has a £180m revolving credit facility and an additional accordion facility of £60m with HSBC UK Bank plc, National Westminster Bank plc, Citibank, N.A., Credit </w:t>
      </w:r>
      <w:proofErr w:type="spellStart"/>
      <w:r w:rsidRPr="00413B1D">
        <w:rPr>
          <w:rFonts w:ascii="Arial" w:eastAsia="Times New Roman" w:hAnsi="Arial" w:cs="Arial"/>
          <w:color w:val="000000"/>
          <w:sz w:val="20"/>
          <w:szCs w:val="20"/>
          <w:lang w:eastAsia="en-GB"/>
        </w:rPr>
        <w:t>Industriel</w:t>
      </w:r>
      <w:proofErr w:type="spellEnd"/>
      <w:r w:rsidRPr="00413B1D">
        <w:rPr>
          <w:rFonts w:ascii="Arial" w:eastAsia="Times New Roman" w:hAnsi="Arial" w:cs="Arial"/>
          <w:color w:val="000000"/>
          <w:sz w:val="20"/>
          <w:szCs w:val="20"/>
          <w:lang w:eastAsia="en-GB"/>
        </w:rPr>
        <w:t xml:space="preserve"> et Commercial, Fifth Third Bank, and The Governor and Company of the Bank of Ireland which was due to expire on 9 February 2025.  £206m of the total facility was drawn as </w:t>
      </w:r>
      <w:proofErr w:type="gramStart"/>
      <w:r w:rsidRPr="00413B1D">
        <w:rPr>
          <w:rFonts w:ascii="Arial" w:eastAsia="Times New Roman" w:hAnsi="Arial" w:cs="Arial"/>
          <w:color w:val="000000"/>
          <w:sz w:val="20"/>
          <w:szCs w:val="20"/>
          <w:lang w:eastAsia="en-GB"/>
        </w:rPr>
        <w:t>at</w:t>
      </w:r>
      <w:proofErr w:type="gramEnd"/>
      <w:r w:rsidRPr="00413B1D">
        <w:rPr>
          <w:rFonts w:ascii="Arial" w:eastAsia="Times New Roman" w:hAnsi="Arial" w:cs="Arial"/>
          <w:color w:val="000000"/>
          <w:sz w:val="20"/>
          <w:szCs w:val="20"/>
          <w:lang w:eastAsia="en-GB"/>
        </w:rPr>
        <w:t xml:space="preserve"> 31 March 2024. </w:t>
      </w:r>
      <w:proofErr w:type="gramStart"/>
      <w:r w:rsidRPr="00413B1D">
        <w:rPr>
          <w:rFonts w:ascii="Arial" w:eastAsia="Times New Roman" w:hAnsi="Arial" w:cs="Arial"/>
          <w:color w:val="000000"/>
          <w:sz w:val="20"/>
          <w:szCs w:val="20"/>
          <w:lang w:eastAsia="en-GB"/>
        </w:rPr>
        <w:t>All of</w:t>
      </w:r>
      <w:proofErr w:type="gramEnd"/>
      <w:r w:rsidRPr="00413B1D">
        <w:rPr>
          <w:rFonts w:ascii="Arial" w:eastAsia="Times New Roman" w:hAnsi="Arial" w:cs="Arial"/>
          <w:color w:val="000000"/>
          <w:sz w:val="20"/>
          <w:szCs w:val="20"/>
          <w:lang w:eastAsia="en-GB"/>
        </w:rPr>
        <w:t xml:space="preserve"> the Group’s borrowings are in sterling.</w:t>
      </w:r>
    </w:p>
    <w:p w14:paraId="1EE8FA46" w14:textId="77777777" w:rsidR="008A1149" w:rsidRPr="00413B1D" w:rsidRDefault="008A1149" w:rsidP="008A1149">
      <w:pPr>
        <w:spacing w:after="0"/>
        <w:jc w:val="both"/>
        <w:rPr>
          <w:rFonts w:ascii="Arial" w:eastAsia="Times New Roman" w:hAnsi="Arial" w:cs="Arial"/>
          <w:color w:val="000000"/>
          <w:sz w:val="20"/>
          <w:szCs w:val="20"/>
          <w:lang w:eastAsia="en-GB"/>
        </w:rPr>
      </w:pPr>
    </w:p>
    <w:p w14:paraId="6AD61363" w14:textId="77777777" w:rsidR="008A1149" w:rsidRDefault="008A1149" w:rsidP="008A1149">
      <w:pPr>
        <w:spacing w:after="0"/>
        <w:jc w:val="both"/>
        <w:rPr>
          <w:rFonts w:ascii="Arial" w:eastAsia="Times New Roman" w:hAnsi="Arial" w:cs="Arial"/>
          <w:color w:val="000000"/>
          <w:sz w:val="20"/>
          <w:szCs w:val="20"/>
          <w:lang w:eastAsia="en-GB"/>
        </w:rPr>
      </w:pPr>
      <w:r w:rsidRPr="00413B1D">
        <w:rPr>
          <w:rFonts w:ascii="Arial" w:eastAsia="Times New Roman" w:hAnsi="Arial" w:cs="Arial"/>
          <w:color w:val="000000"/>
          <w:sz w:val="20"/>
          <w:szCs w:val="20"/>
          <w:lang w:eastAsia="en-GB"/>
        </w:rPr>
        <w:t xml:space="preserve">Following the disposal of the GRC business this facility was repaid in full on 5 June 2024 and fully extinguished. </w:t>
      </w:r>
    </w:p>
    <w:p w14:paraId="31B2B381" w14:textId="77777777" w:rsidR="008A1149" w:rsidRPr="00413B1D" w:rsidRDefault="008A1149" w:rsidP="008A1149">
      <w:pPr>
        <w:spacing w:after="0"/>
        <w:jc w:val="both"/>
        <w:rPr>
          <w:rFonts w:ascii="Arial" w:eastAsia="Times New Roman" w:hAnsi="Arial" w:cs="Arial"/>
          <w:color w:val="000000"/>
          <w:sz w:val="20"/>
          <w:szCs w:val="20"/>
          <w:lang w:eastAsia="en-GB"/>
        </w:rPr>
      </w:pPr>
    </w:p>
    <w:p w14:paraId="0706A262" w14:textId="5D1E5A52" w:rsidR="008A1149" w:rsidRDefault="008A1149" w:rsidP="00F72BA1">
      <w:pPr>
        <w:spacing w:after="0"/>
        <w:jc w:val="both"/>
        <w:rPr>
          <w:rFonts w:ascii="Arial" w:eastAsia="Times New Roman" w:hAnsi="Arial" w:cs="Arial"/>
          <w:b/>
          <w:bCs/>
          <w:color w:val="000000"/>
          <w:sz w:val="20"/>
          <w:szCs w:val="20"/>
          <w:lang w:eastAsia="en-GB"/>
        </w:rPr>
      </w:pPr>
      <w:r w:rsidRPr="00413B1D">
        <w:rPr>
          <w:rFonts w:ascii="Arial" w:eastAsia="Times New Roman" w:hAnsi="Arial" w:cs="Arial"/>
          <w:color w:val="000000"/>
          <w:sz w:val="20"/>
          <w:szCs w:val="20"/>
          <w:lang w:eastAsia="en-GB"/>
        </w:rPr>
        <w:t xml:space="preserve">On 24 June 2024, the Group </w:t>
      </w:r>
      <w:proofErr w:type="gramStart"/>
      <w:r w:rsidRPr="00413B1D">
        <w:rPr>
          <w:rFonts w:ascii="Arial" w:eastAsia="Times New Roman" w:hAnsi="Arial" w:cs="Arial"/>
          <w:color w:val="000000"/>
          <w:sz w:val="20"/>
          <w:szCs w:val="20"/>
          <w:lang w:eastAsia="en-GB"/>
        </w:rPr>
        <w:t>entered into</w:t>
      </w:r>
      <w:proofErr w:type="gramEnd"/>
      <w:r w:rsidRPr="00413B1D">
        <w:rPr>
          <w:rFonts w:ascii="Arial" w:eastAsia="Times New Roman" w:hAnsi="Arial" w:cs="Arial"/>
          <w:color w:val="000000"/>
          <w:sz w:val="20"/>
          <w:szCs w:val="20"/>
          <w:lang w:eastAsia="en-GB"/>
        </w:rPr>
        <w:t xml:space="preserve"> a new unsecured 3-year Revolving Credit Facility (RCF) for £50m with Barclays Bank PLC and HSBC UK Bank plc. The RCF includes two 1-year extension options and an uncommitted accordion facility of £50m.</w:t>
      </w:r>
    </w:p>
    <w:p w14:paraId="22159893" w14:textId="77777777" w:rsidR="008A1149" w:rsidRDefault="008A1149" w:rsidP="00B90303">
      <w:pPr>
        <w:spacing w:after="0"/>
        <w:rPr>
          <w:rFonts w:ascii="Arial" w:eastAsia="Times New Roman" w:hAnsi="Arial" w:cs="Arial"/>
          <w:b/>
          <w:bCs/>
          <w:color w:val="000000"/>
          <w:sz w:val="20"/>
          <w:szCs w:val="20"/>
          <w:lang w:eastAsia="en-GB"/>
        </w:rPr>
      </w:pPr>
    </w:p>
    <w:p w14:paraId="6C81B144" w14:textId="167F05FE" w:rsidR="00B90303" w:rsidRPr="00F83142" w:rsidRDefault="00745337" w:rsidP="00B90303">
      <w:pPr>
        <w:spacing w:after="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w:t>
      </w:r>
      <w:r w:rsidR="00FE6936">
        <w:rPr>
          <w:rFonts w:ascii="Arial" w:eastAsia="Times New Roman" w:hAnsi="Arial" w:cs="Arial"/>
          <w:b/>
          <w:bCs/>
          <w:color w:val="000000"/>
          <w:sz w:val="20"/>
          <w:szCs w:val="20"/>
          <w:lang w:eastAsia="en-GB"/>
        </w:rPr>
        <w:t>1</w:t>
      </w:r>
      <w:r w:rsidR="00B90303" w:rsidRPr="00F83142">
        <w:rPr>
          <w:rFonts w:ascii="Arial" w:eastAsia="Times New Roman" w:hAnsi="Arial" w:cs="Arial"/>
          <w:b/>
          <w:bCs/>
          <w:color w:val="000000"/>
          <w:sz w:val="20"/>
          <w:szCs w:val="20"/>
          <w:lang w:eastAsia="en-GB"/>
        </w:rPr>
        <w:t>. Called up share capital</w:t>
      </w:r>
    </w:p>
    <w:p w14:paraId="5DFAAA97" w14:textId="77777777" w:rsidR="008A1149" w:rsidRDefault="008A1149" w:rsidP="008A1149">
      <w:pPr>
        <w:spacing w:after="0"/>
        <w:rPr>
          <w:rFonts w:ascii="Arial" w:eastAsia="Times New Roman" w:hAnsi="Arial" w:cs="Arial"/>
          <w:b/>
          <w:bCs/>
          <w:color w:val="000000"/>
          <w:sz w:val="20"/>
          <w:szCs w:val="20"/>
          <w:highlight w:val="yellow"/>
          <w:lang w:eastAsia="en-GB"/>
        </w:rPr>
      </w:pPr>
    </w:p>
    <w:tbl>
      <w:tblPr>
        <w:tblW w:w="9752" w:type="dxa"/>
        <w:tblLook w:val="04A0" w:firstRow="1" w:lastRow="0" w:firstColumn="1" w:lastColumn="0" w:noHBand="0" w:noVBand="1"/>
      </w:tblPr>
      <w:tblGrid>
        <w:gridCol w:w="6690"/>
        <w:gridCol w:w="1531"/>
        <w:gridCol w:w="1531"/>
      </w:tblGrid>
      <w:tr w:rsidR="008A1149" w:rsidRPr="004D7811" w14:paraId="47ECC0DE" w14:textId="77777777" w:rsidTr="00AB1DC6">
        <w:trPr>
          <w:trHeight w:val="283"/>
        </w:trPr>
        <w:tc>
          <w:tcPr>
            <w:tcW w:w="6690" w:type="dxa"/>
            <w:shd w:val="clear" w:color="auto" w:fill="auto"/>
            <w:noWrap/>
            <w:vAlign w:val="bottom"/>
          </w:tcPr>
          <w:p w14:paraId="746F4AA1" w14:textId="77777777" w:rsidR="008A1149" w:rsidRPr="00990C98" w:rsidRDefault="008A1149" w:rsidP="00AB1DC6">
            <w:pPr>
              <w:spacing w:after="0" w:line="240" w:lineRule="auto"/>
              <w:rPr>
                <w:rFonts w:ascii="Arial" w:eastAsia="Times New Roman" w:hAnsi="Arial" w:cs="Arial"/>
                <w:color w:val="000000"/>
                <w:sz w:val="20"/>
                <w:szCs w:val="20"/>
                <w:lang w:eastAsia="en-GB"/>
              </w:rPr>
            </w:pPr>
          </w:p>
        </w:tc>
        <w:tc>
          <w:tcPr>
            <w:tcW w:w="1531" w:type="dxa"/>
            <w:vAlign w:val="bottom"/>
          </w:tcPr>
          <w:p w14:paraId="6C8EF247" w14:textId="77777777" w:rsidR="008A1149" w:rsidRPr="00C52765" w:rsidRDefault="008A1149" w:rsidP="00AB1DC6">
            <w:pPr>
              <w:spacing w:after="0" w:line="240" w:lineRule="auto"/>
              <w:jc w:val="right"/>
              <w:rPr>
                <w:rFonts w:ascii="Arial" w:hAnsi="Arial" w:cs="Arial"/>
                <w:b/>
                <w:bCs/>
                <w:color w:val="000000"/>
                <w:sz w:val="20"/>
                <w:szCs w:val="20"/>
              </w:rPr>
            </w:pPr>
            <w:r w:rsidRPr="00C52765">
              <w:rPr>
                <w:rFonts w:ascii="Arial" w:hAnsi="Arial" w:cs="Arial"/>
                <w:b/>
                <w:bCs/>
                <w:color w:val="000000"/>
                <w:sz w:val="20"/>
                <w:szCs w:val="20"/>
              </w:rPr>
              <w:t>2024</w:t>
            </w:r>
          </w:p>
        </w:tc>
        <w:tc>
          <w:tcPr>
            <w:tcW w:w="1531" w:type="dxa"/>
            <w:vAlign w:val="bottom"/>
          </w:tcPr>
          <w:p w14:paraId="42F18E4C" w14:textId="77777777" w:rsidR="008A1149" w:rsidRPr="00C52765" w:rsidRDefault="008A1149" w:rsidP="00AB1DC6">
            <w:pPr>
              <w:spacing w:after="0" w:line="240" w:lineRule="auto"/>
              <w:jc w:val="right"/>
              <w:rPr>
                <w:rFonts w:ascii="Arial" w:hAnsi="Arial" w:cs="Arial"/>
                <w:b/>
                <w:bCs/>
                <w:color w:val="000000"/>
                <w:sz w:val="20"/>
                <w:szCs w:val="20"/>
              </w:rPr>
            </w:pPr>
            <w:r w:rsidRPr="00C52765">
              <w:rPr>
                <w:rFonts w:ascii="Arial" w:hAnsi="Arial" w:cs="Arial"/>
                <w:b/>
                <w:bCs/>
                <w:color w:val="000000"/>
                <w:sz w:val="20"/>
                <w:szCs w:val="20"/>
              </w:rPr>
              <w:t>2023</w:t>
            </w:r>
          </w:p>
        </w:tc>
      </w:tr>
      <w:tr w:rsidR="008A1149" w:rsidRPr="004D7811" w14:paraId="25CF9113" w14:textId="77777777" w:rsidTr="00AB1DC6">
        <w:trPr>
          <w:trHeight w:val="283"/>
        </w:trPr>
        <w:tc>
          <w:tcPr>
            <w:tcW w:w="6690" w:type="dxa"/>
            <w:tcBorders>
              <w:bottom w:val="single" w:sz="4" w:space="0" w:color="auto"/>
            </w:tcBorders>
            <w:shd w:val="clear" w:color="auto" w:fill="auto"/>
            <w:noWrap/>
            <w:vAlign w:val="bottom"/>
          </w:tcPr>
          <w:p w14:paraId="60AFD485" w14:textId="77777777" w:rsidR="008A1149" w:rsidRPr="00990C98" w:rsidRDefault="008A1149" w:rsidP="00AB1DC6">
            <w:pPr>
              <w:spacing w:after="0" w:line="240" w:lineRule="auto"/>
              <w:rPr>
                <w:rFonts w:ascii="Arial" w:eastAsia="Times New Roman" w:hAnsi="Arial" w:cs="Arial"/>
                <w:color w:val="000000"/>
                <w:sz w:val="20"/>
                <w:szCs w:val="20"/>
                <w:lang w:eastAsia="en-GB"/>
              </w:rPr>
            </w:pPr>
          </w:p>
        </w:tc>
        <w:tc>
          <w:tcPr>
            <w:tcW w:w="1531" w:type="dxa"/>
            <w:tcBorders>
              <w:bottom w:val="single" w:sz="4" w:space="0" w:color="auto"/>
            </w:tcBorders>
            <w:vAlign w:val="bottom"/>
          </w:tcPr>
          <w:p w14:paraId="5478E448" w14:textId="77777777" w:rsidR="008A1149" w:rsidRPr="00C52765" w:rsidRDefault="008A1149" w:rsidP="00AB1DC6">
            <w:pPr>
              <w:spacing w:after="0" w:line="240" w:lineRule="auto"/>
              <w:jc w:val="right"/>
              <w:rPr>
                <w:rFonts w:ascii="Arial" w:eastAsia="Times New Roman" w:hAnsi="Arial" w:cs="Arial"/>
                <w:b/>
                <w:bCs/>
                <w:color w:val="000000"/>
                <w:sz w:val="20"/>
                <w:szCs w:val="20"/>
                <w:lang w:eastAsia="en-GB"/>
              </w:rPr>
            </w:pPr>
            <w:r w:rsidRPr="00C52765">
              <w:rPr>
                <w:rFonts w:ascii="Arial" w:eastAsia="Times New Roman" w:hAnsi="Arial" w:cs="Arial"/>
                <w:b/>
                <w:bCs/>
                <w:color w:val="000000"/>
                <w:sz w:val="20"/>
                <w:szCs w:val="20"/>
                <w:lang w:eastAsia="en-GB"/>
              </w:rPr>
              <w:t>£’m</w:t>
            </w:r>
          </w:p>
        </w:tc>
        <w:tc>
          <w:tcPr>
            <w:tcW w:w="1531" w:type="dxa"/>
            <w:tcBorders>
              <w:bottom w:val="single" w:sz="4" w:space="0" w:color="auto"/>
            </w:tcBorders>
            <w:vAlign w:val="bottom"/>
          </w:tcPr>
          <w:p w14:paraId="3CDA8290" w14:textId="77777777" w:rsidR="008A1149" w:rsidRPr="00C52765" w:rsidRDefault="008A1149" w:rsidP="00AB1DC6">
            <w:pPr>
              <w:spacing w:after="0" w:line="240" w:lineRule="auto"/>
              <w:jc w:val="right"/>
              <w:rPr>
                <w:rFonts w:ascii="Arial" w:hAnsi="Arial" w:cs="Arial"/>
                <w:b/>
                <w:bCs/>
                <w:color w:val="000000"/>
                <w:sz w:val="20"/>
                <w:szCs w:val="20"/>
              </w:rPr>
            </w:pPr>
            <w:r w:rsidRPr="00C52765">
              <w:rPr>
                <w:rFonts w:ascii="Arial" w:hAnsi="Arial" w:cs="Arial"/>
                <w:b/>
                <w:bCs/>
                <w:color w:val="000000"/>
                <w:sz w:val="20"/>
                <w:szCs w:val="20"/>
              </w:rPr>
              <w:t>£’m</w:t>
            </w:r>
          </w:p>
        </w:tc>
      </w:tr>
      <w:tr w:rsidR="008A1149" w:rsidRPr="004D7811" w14:paraId="526129E3" w14:textId="77777777" w:rsidTr="00AB1DC6">
        <w:trPr>
          <w:trHeight w:val="283"/>
        </w:trPr>
        <w:tc>
          <w:tcPr>
            <w:tcW w:w="6690" w:type="dxa"/>
            <w:tcBorders>
              <w:top w:val="single" w:sz="4" w:space="0" w:color="auto"/>
            </w:tcBorders>
            <w:shd w:val="clear" w:color="auto" w:fill="auto"/>
            <w:noWrap/>
            <w:vAlign w:val="bottom"/>
          </w:tcPr>
          <w:p w14:paraId="26FD59AD" w14:textId="77777777" w:rsidR="008A1149" w:rsidRPr="00F15D3A" w:rsidRDefault="008A1149" w:rsidP="00AB1DC6">
            <w:pPr>
              <w:spacing w:after="0" w:line="240" w:lineRule="auto"/>
              <w:rPr>
                <w:rFonts w:ascii="Arial" w:eastAsia="Times New Roman" w:hAnsi="Arial" w:cs="Arial"/>
                <w:color w:val="000000"/>
                <w:sz w:val="20"/>
                <w:szCs w:val="20"/>
                <w:lang w:eastAsia="en-GB"/>
              </w:rPr>
            </w:pPr>
            <w:r w:rsidRPr="005509AA">
              <w:rPr>
                <w:rFonts w:ascii="Arial" w:eastAsia="Times New Roman" w:hAnsi="Arial" w:cs="Arial"/>
                <w:color w:val="000000"/>
                <w:sz w:val="20"/>
                <w:szCs w:val="20"/>
                <w:lang w:eastAsia="en-GB"/>
              </w:rPr>
              <w:t>Allotted, issued and fully paid:</w:t>
            </w:r>
          </w:p>
        </w:tc>
        <w:tc>
          <w:tcPr>
            <w:tcW w:w="1531" w:type="dxa"/>
            <w:tcBorders>
              <w:top w:val="single" w:sz="4" w:space="0" w:color="auto"/>
            </w:tcBorders>
            <w:vAlign w:val="bottom"/>
          </w:tcPr>
          <w:p w14:paraId="6065F82B" w14:textId="77777777" w:rsidR="008A1149" w:rsidRPr="00990C98" w:rsidRDefault="008A1149" w:rsidP="00AB1DC6">
            <w:pPr>
              <w:spacing w:after="0" w:line="240" w:lineRule="auto"/>
              <w:jc w:val="right"/>
              <w:rPr>
                <w:rFonts w:ascii="Arial" w:eastAsia="Times New Roman" w:hAnsi="Arial" w:cs="Arial"/>
                <w:b/>
                <w:bCs/>
                <w:color w:val="000000"/>
                <w:sz w:val="20"/>
                <w:szCs w:val="20"/>
                <w:lang w:eastAsia="en-GB"/>
              </w:rPr>
            </w:pPr>
          </w:p>
        </w:tc>
        <w:tc>
          <w:tcPr>
            <w:tcW w:w="1531" w:type="dxa"/>
            <w:tcBorders>
              <w:top w:val="single" w:sz="4" w:space="0" w:color="auto"/>
            </w:tcBorders>
            <w:vAlign w:val="bottom"/>
          </w:tcPr>
          <w:p w14:paraId="42EE7DE9" w14:textId="77777777" w:rsidR="008A1149" w:rsidRPr="00525603" w:rsidRDefault="008A1149" w:rsidP="00AB1DC6">
            <w:pPr>
              <w:spacing w:after="0" w:line="240" w:lineRule="auto"/>
              <w:jc w:val="right"/>
              <w:rPr>
                <w:rFonts w:ascii="Arial" w:hAnsi="Arial" w:cs="Arial"/>
                <w:sz w:val="20"/>
                <w:szCs w:val="20"/>
              </w:rPr>
            </w:pPr>
          </w:p>
        </w:tc>
      </w:tr>
      <w:tr w:rsidR="008A1149" w:rsidRPr="004D7811" w14:paraId="4A51D32A" w14:textId="77777777" w:rsidTr="00AB1DC6">
        <w:trPr>
          <w:trHeight w:val="283"/>
        </w:trPr>
        <w:tc>
          <w:tcPr>
            <w:tcW w:w="6690" w:type="dxa"/>
            <w:tcBorders>
              <w:bottom w:val="double" w:sz="4" w:space="0" w:color="auto"/>
            </w:tcBorders>
            <w:shd w:val="clear" w:color="auto" w:fill="auto"/>
            <w:noWrap/>
            <w:vAlign w:val="bottom"/>
          </w:tcPr>
          <w:p w14:paraId="7490C5EC" w14:textId="77777777" w:rsidR="008A1149" w:rsidRDefault="008A1149" w:rsidP="00AB1D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96,807,718</w:t>
            </w:r>
            <w:r w:rsidRPr="003C3620">
              <w:rPr>
                <w:rFonts w:ascii="Arial" w:eastAsia="Times New Roman" w:hAnsi="Arial" w:cs="Arial"/>
                <w:color w:val="000000"/>
                <w:sz w:val="20"/>
                <w:szCs w:val="20"/>
                <w:lang w:eastAsia="en-GB"/>
              </w:rPr>
              <w:t xml:space="preserve"> ordinary shares of 50p each (202</w:t>
            </w:r>
            <w:r>
              <w:rPr>
                <w:rFonts w:ascii="Arial" w:eastAsia="Times New Roman" w:hAnsi="Arial" w:cs="Arial"/>
                <w:color w:val="000000"/>
                <w:sz w:val="20"/>
                <w:szCs w:val="20"/>
                <w:lang w:eastAsia="en-GB"/>
              </w:rPr>
              <w:t>3</w:t>
            </w:r>
            <w:r w:rsidRPr="003C3620">
              <w:rPr>
                <w:rFonts w:ascii="Arial" w:eastAsia="Times New Roman" w:hAnsi="Arial" w:cs="Arial"/>
                <w:color w:val="000000"/>
                <w:sz w:val="20"/>
                <w:szCs w:val="20"/>
                <w:lang w:eastAsia="en-GB"/>
              </w:rPr>
              <w:t>: 95,882,065 ordinary shares of 50p each)</w:t>
            </w:r>
          </w:p>
        </w:tc>
        <w:tc>
          <w:tcPr>
            <w:tcW w:w="1531" w:type="dxa"/>
            <w:tcBorders>
              <w:bottom w:val="double" w:sz="4" w:space="0" w:color="auto"/>
            </w:tcBorders>
            <w:vAlign w:val="bottom"/>
          </w:tcPr>
          <w:p w14:paraId="7105F47B" w14:textId="77777777" w:rsidR="008A1149" w:rsidRPr="00990C98"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48.4</w:t>
            </w:r>
          </w:p>
        </w:tc>
        <w:tc>
          <w:tcPr>
            <w:tcW w:w="1531" w:type="dxa"/>
            <w:tcBorders>
              <w:bottom w:val="double" w:sz="4" w:space="0" w:color="auto"/>
            </w:tcBorders>
            <w:vAlign w:val="bottom"/>
          </w:tcPr>
          <w:p w14:paraId="0C80F55E" w14:textId="77777777" w:rsidR="008A1149" w:rsidRPr="00525603" w:rsidRDefault="008A1149" w:rsidP="00AB1DC6">
            <w:pPr>
              <w:spacing w:after="0" w:line="240" w:lineRule="auto"/>
              <w:jc w:val="right"/>
              <w:rPr>
                <w:rFonts w:ascii="Arial" w:hAnsi="Arial" w:cs="Arial"/>
                <w:sz w:val="20"/>
                <w:szCs w:val="20"/>
              </w:rPr>
            </w:pPr>
            <w:r>
              <w:rPr>
                <w:rFonts w:ascii="Arial" w:hAnsi="Arial" w:cs="Arial"/>
                <w:sz w:val="20"/>
                <w:szCs w:val="20"/>
              </w:rPr>
              <w:t>47.9</w:t>
            </w:r>
          </w:p>
        </w:tc>
      </w:tr>
    </w:tbl>
    <w:p w14:paraId="401EDF0E" w14:textId="77777777" w:rsidR="008A1149" w:rsidRDefault="008A1149" w:rsidP="008A1149">
      <w:pPr>
        <w:spacing w:after="0"/>
        <w:jc w:val="both"/>
        <w:rPr>
          <w:rFonts w:ascii="Arial" w:hAnsi="Arial" w:cs="Arial"/>
          <w:b/>
          <w:bCs/>
          <w:sz w:val="20"/>
          <w:szCs w:val="20"/>
        </w:rPr>
      </w:pPr>
    </w:p>
    <w:p w14:paraId="79C119CC" w14:textId="77777777" w:rsidR="0051500E" w:rsidRDefault="0051500E" w:rsidP="008A1149">
      <w:pPr>
        <w:spacing w:after="0"/>
        <w:jc w:val="both"/>
        <w:rPr>
          <w:rFonts w:ascii="Arial" w:hAnsi="Arial" w:cs="Arial"/>
          <w:sz w:val="20"/>
          <w:szCs w:val="20"/>
        </w:rPr>
      </w:pPr>
    </w:p>
    <w:p w14:paraId="34A5AFBA" w14:textId="77777777" w:rsidR="0051500E" w:rsidRDefault="0051500E" w:rsidP="008A1149">
      <w:pPr>
        <w:spacing w:after="0"/>
        <w:jc w:val="both"/>
        <w:rPr>
          <w:rFonts w:ascii="Arial" w:hAnsi="Arial" w:cs="Arial"/>
          <w:sz w:val="20"/>
          <w:szCs w:val="20"/>
        </w:rPr>
      </w:pPr>
    </w:p>
    <w:p w14:paraId="3A880DC5" w14:textId="77777777" w:rsidR="0051500E" w:rsidRDefault="0051500E" w:rsidP="008A1149">
      <w:pPr>
        <w:spacing w:after="0"/>
        <w:jc w:val="both"/>
        <w:rPr>
          <w:rFonts w:ascii="Arial" w:hAnsi="Arial" w:cs="Arial"/>
          <w:sz w:val="20"/>
          <w:szCs w:val="20"/>
        </w:rPr>
      </w:pPr>
    </w:p>
    <w:p w14:paraId="5C2BA948" w14:textId="77777777" w:rsidR="0051500E" w:rsidRDefault="0051500E" w:rsidP="008A1149">
      <w:pPr>
        <w:spacing w:after="0"/>
        <w:jc w:val="both"/>
        <w:rPr>
          <w:rFonts w:ascii="Arial" w:hAnsi="Arial" w:cs="Arial"/>
          <w:sz w:val="20"/>
          <w:szCs w:val="20"/>
        </w:rPr>
      </w:pPr>
    </w:p>
    <w:p w14:paraId="26E82639" w14:textId="77777777" w:rsidR="0051500E" w:rsidRDefault="0051500E" w:rsidP="008A1149">
      <w:pPr>
        <w:spacing w:after="0"/>
        <w:jc w:val="both"/>
        <w:rPr>
          <w:rFonts w:ascii="Arial" w:hAnsi="Arial" w:cs="Arial"/>
          <w:sz w:val="20"/>
          <w:szCs w:val="20"/>
        </w:rPr>
      </w:pPr>
    </w:p>
    <w:p w14:paraId="65806673" w14:textId="77777777" w:rsidR="0051500E" w:rsidRDefault="0051500E" w:rsidP="008A1149">
      <w:pPr>
        <w:spacing w:after="0"/>
        <w:jc w:val="both"/>
        <w:rPr>
          <w:rFonts w:ascii="Arial" w:hAnsi="Arial" w:cs="Arial"/>
          <w:sz w:val="20"/>
          <w:szCs w:val="20"/>
        </w:rPr>
      </w:pPr>
    </w:p>
    <w:p w14:paraId="310B36F0" w14:textId="77777777" w:rsidR="0051500E" w:rsidRDefault="0051500E" w:rsidP="008A1149">
      <w:pPr>
        <w:spacing w:after="0"/>
        <w:jc w:val="both"/>
        <w:rPr>
          <w:rFonts w:ascii="Arial" w:hAnsi="Arial" w:cs="Arial"/>
          <w:sz w:val="20"/>
          <w:szCs w:val="20"/>
        </w:rPr>
      </w:pPr>
    </w:p>
    <w:p w14:paraId="193C587A" w14:textId="77777777" w:rsidR="0051500E" w:rsidRDefault="0051500E" w:rsidP="008A1149">
      <w:pPr>
        <w:spacing w:after="0"/>
        <w:jc w:val="both"/>
        <w:rPr>
          <w:rFonts w:ascii="Arial" w:hAnsi="Arial" w:cs="Arial"/>
          <w:sz w:val="20"/>
          <w:szCs w:val="20"/>
        </w:rPr>
      </w:pPr>
    </w:p>
    <w:p w14:paraId="1AF15AE9" w14:textId="77777777" w:rsidR="0051500E" w:rsidRDefault="0051500E" w:rsidP="008A1149">
      <w:pPr>
        <w:spacing w:after="0"/>
        <w:jc w:val="both"/>
        <w:rPr>
          <w:rFonts w:ascii="Arial" w:hAnsi="Arial" w:cs="Arial"/>
          <w:sz w:val="20"/>
          <w:szCs w:val="20"/>
        </w:rPr>
      </w:pPr>
    </w:p>
    <w:p w14:paraId="48288194" w14:textId="77777777" w:rsidR="0051500E" w:rsidRDefault="0051500E" w:rsidP="008A1149">
      <w:pPr>
        <w:spacing w:after="0"/>
        <w:jc w:val="both"/>
        <w:rPr>
          <w:rFonts w:ascii="Arial" w:hAnsi="Arial" w:cs="Arial"/>
          <w:sz w:val="20"/>
          <w:szCs w:val="20"/>
        </w:rPr>
      </w:pPr>
    </w:p>
    <w:p w14:paraId="4BCAEE51" w14:textId="77777777" w:rsidR="0051500E" w:rsidRDefault="0051500E" w:rsidP="008A1149">
      <w:pPr>
        <w:spacing w:after="0"/>
        <w:jc w:val="both"/>
        <w:rPr>
          <w:rFonts w:ascii="Arial" w:hAnsi="Arial" w:cs="Arial"/>
          <w:sz w:val="20"/>
          <w:szCs w:val="20"/>
        </w:rPr>
      </w:pPr>
    </w:p>
    <w:p w14:paraId="7146EB89" w14:textId="77777777" w:rsidR="0051500E" w:rsidRDefault="0051500E" w:rsidP="008A1149">
      <w:pPr>
        <w:spacing w:after="0"/>
        <w:jc w:val="both"/>
        <w:rPr>
          <w:rFonts w:ascii="Arial" w:hAnsi="Arial" w:cs="Arial"/>
          <w:sz w:val="20"/>
          <w:szCs w:val="20"/>
        </w:rPr>
      </w:pPr>
    </w:p>
    <w:p w14:paraId="494566CF" w14:textId="77777777" w:rsidR="0051500E" w:rsidRDefault="0051500E" w:rsidP="008A1149">
      <w:pPr>
        <w:spacing w:after="0"/>
        <w:jc w:val="both"/>
        <w:rPr>
          <w:rFonts w:ascii="Arial" w:hAnsi="Arial" w:cs="Arial"/>
          <w:sz w:val="20"/>
          <w:szCs w:val="20"/>
        </w:rPr>
      </w:pPr>
    </w:p>
    <w:p w14:paraId="15B2B248" w14:textId="77777777" w:rsidR="0051500E" w:rsidRDefault="0051500E" w:rsidP="008A1149">
      <w:pPr>
        <w:spacing w:after="0"/>
        <w:jc w:val="both"/>
        <w:rPr>
          <w:rFonts w:ascii="Arial" w:hAnsi="Arial" w:cs="Arial"/>
          <w:sz w:val="20"/>
          <w:szCs w:val="20"/>
        </w:rPr>
      </w:pPr>
    </w:p>
    <w:p w14:paraId="3C67CA22" w14:textId="77777777" w:rsidR="0051500E" w:rsidRDefault="0051500E" w:rsidP="008A1149">
      <w:pPr>
        <w:spacing w:after="0"/>
        <w:jc w:val="both"/>
        <w:rPr>
          <w:rFonts w:ascii="Arial" w:hAnsi="Arial" w:cs="Arial"/>
          <w:sz w:val="20"/>
          <w:szCs w:val="20"/>
        </w:rPr>
      </w:pPr>
    </w:p>
    <w:p w14:paraId="7B5FEC08" w14:textId="3573F416" w:rsidR="008A1149" w:rsidRPr="005D5DCC" w:rsidRDefault="008A1149" w:rsidP="008A1149">
      <w:pPr>
        <w:spacing w:after="0"/>
        <w:jc w:val="both"/>
        <w:rPr>
          <w:rFonts w:ascii="Arial" w:hAnsi="Arial" w:cs="Arial"/>
          <w:sz w:val="20"/>
          <w:szCs w:val="20"/>
        </w:rPr>
      </w:pPr>
      <w:r w:rsidRPr="005D5DCC">
        <w:rPr>
          <w:rFonts w:ascii="Arial" w:hAnsi="Arial" w:cs="Arial"/>
          <w:sz w:val="20"/>
          <w:szCs w:val="20"/>
        </w:rPr>
        <w:lastRenderedPageBreak/>
        <w:t>The issued ordinary share capital is as follows:</w:t>
      </w:r>
    </w:p>
    <w:p w14:paraId="29EEE7D8" w14:textId="77777777" w:rsidR="008A1149" w:rsidRPr="004D7811" w:rsidRDefault="008A1149" w:rsidP="008A1149">
      <w:pPr>
        <w:spacing w:after="0"/>
        <w:rPr>
          <w:rFonts w:ascii="Arial" w:eastAsia="Times New Roman" w:hAnsi="Arial" w:cs="Arial"/>
          <w:b/>
          <w:bCs/>
          <w:color w:val="000000"/>
          <w:sz w:val="20"/>
          <w:szCs w:val="20"/>
          <w:highlight w:val="yellow"/>
          <w:lang w:eastAsia="en-GB"/>
        </w:rPr>
      </w:pPr>
    </w:p>
    <w:tbl>
      <w:tblPr>
        <w:tblW w:w="9723" w:type="dxa"/>
        <w:tblLayout w:type="fixed"/>
        <w:tblLook w:val="04A0" w:firstRow="1" w:lastRow="0" w:firstColumn="1" w:lastColumn="0" w:noHBand="0" w:noVBand="1"/>
      </w:tblPr>
      <w:tblGrid>
        <w:gridCol w:w="4962"/>
        <w:gridCol w:w="84"/>
        <w:gridCol w:w="1617"/>
        <w:gridCol w:w="1858"/>
        <w:gridCol w:w="1202"/>
      </w:tblGrid>
      <w:tr w:rsidR="008A1149" w:rsidRPr="00537D1E" w14:paraId="66B236BD" w14:textId="77777777" w:rsidTr="00AB1DC6">
        <w:trPr>
          <w:trHeight w:val="283"/>
        </w:trPr>
        <w:tc>
          <w:tcPr>
            <w:tcW w:w="4962" w:type="dxa"/>
            <w:shd w:val="clear" w:color="auto" w:fill="auto"/>
            <w:noWrap/>
            <w:vAlign w:val="bottom"/>
          </w:tcPr>
          <w:p w14:paraId="4D41038A" w14:textId="77777777" w:rsidR="008A1149" w:rsidRPr="00537D1E" w:rsidRDefault="008A1149" w:rsidP="00AB1DC6">
            <w:pPr>
              <w:spacing w:after="0" w:line="240" w:lineRule="auto"/>
              <w:rPr>
                <w:rFonts w:ascii="Arial" w:eastAsia="Times New Roman" w:hAnsi="Arial" w:cs="Arial"/>
                <w:color w:val="000000"/>
                <w:sz w:val="20"/>
                <w:szCs w:val="20"/>
                <w:lang w:eastAsia="en-GB"/>
              </w:rPr>
            </w:pPr>
          </w:p>
        </w:tc>
        <w:tc>
          <w:tcPr>
            <w:tcW w:w="1701" w:type="dxa"/>
            <w:gridSpan w:val="2"/>
            <w:vAlign w:val="bottom"/>
          </w:tcPr>
          <w:p w14:paraId="52319634" w14:textId="77777777" w:rsidR="008A1149" w:rsidRPr="00BB1BCC" w:rsidRDefault="008A1149" w:rsidP="00AB1DC6">
            <w:pPr>
              <w:spacing w:after="0" w:line="240" w:lineRule="auto"/>
              <w:jc w:val="right"/>
              <w:rPr>
                <w:rFonts w:ascii="Arial" w:eastAsia="Times New Roman" w:hAnsi="Arial" w:cs="Arial"/>
                <w:b/>
                <w:bCs/>
                <w:color w:val="000000"/>
                <w:sz w:val="20"/>
                <w:szCs w:val="20"/>
                <w:lang w:eastAsia="en-GB"/>
              </w:rPr>
            </w:pPr>
            <w:r w:rsidRPr="00BB1BCC">
              <w:rPr>
                <w:rFonts w:ascii="Arial" w:eastAsia="Times New Roman" w:hAnsi="Arial" w:cs="Arial"/>
                <w:b/>
                <w:bCs/>
                <w:color w:val="000000"/>
                <w:sz w:val="20"/>
                <w:szCs w:val="20"/>
                <w:lang w:eastAsia="en-GB"/>
              </w:rPr>
              <w:t>Allotted, issued and fully paid</w:t>
            </w:r>
          </w:p>
        </w:tc>
        <w:tc>
          <w:tcPr>
            <w:tcW w:w="1858" w:type="dxa"/>
            <w:vAlign w:val="bottom"/>
          </w:tcPr>
          <w:p w14:paraId="535C3742" w14:textId="77777777" w:rsidR="008A1149" w:rsidRPr="00BB1BCC" w:rsidRDefault="008A1149" w:rsidP="00AB1DC6">
            <w:pPr>
              <w:spacing w:after="0" w:line="240" w:lineRule="auto"/>
              <w:jc w:val="right"/>
              <w:rPr>
                <w:rFonts w:ascii="Arial" w:hAnsi="Arial" w:cs="Arial"/>
                <w:b/>
                <w:bCs/>
                <w:color w:val="000000"/>
                <w:sz w:val="20"/>
                <w:szCs w:val="20"/>
              </w:rPr>
            </w:pPr>
            <w:r w:rsidRPr="00BB1BCC">
              <w:rPr>
                <w:rFonts w:ascii="Arial" w:hAnsi="Arial" w:cs="Arial"/>
                <w:b/>
                <w:bCs/>
                <w:color w:val="000000"/>
                <w:sz w:val="20"/>
                <w:szCs w:val="20"/>
              </w:rPr>
              <w:t>Number of ordinary shares</w:t>
            </w:r>
          </w:p>
        </w:tc>
        <w:tc>
          <w:tcPr>
            <w:tcW w:w="1202" w:type="dxa"/>
            <w:vAlign w:val="bottom"/>
          </w:tcPr>
          <w:p w14:paraId="13C0CE2C" w14:textId="77777777" w:rsidR="008A1149" w:rsidRPr="00BB1BCC" w:rsidRDefault="008A1149" w:rsidP="00AB1DC6">
            <w:pPr>
              <w:spacing w:after="0" w:line="240" w:lineRule="auto"/>
              <w:jc w:val="right"/>
              <w:rPr>
                <w:rFonts w:ascii="Arial" w:hAnsi="Arial" w:cs="Arial"/>
                <w:b/>
                <w:bCs/>
                <w:color w:val="000000"/>
                <w:sz w:val="20"/>
                <w:szCs w:val="20"/>
              </w:rPr>
            </w:pPr>
            <w:r w:rsidRPr="00BB1BCC">
              <w:rPr>
                <w:rFonts w:ascii="Arial" w:hAnsi="Arial" w:cs="Arial"/>
                <w:b/>
                <w:bCs/>
                <w:color w:val="000000"/>
                <w:sz w:val="20"/>
                <w:szCs w:val="20"/>
              </w:rPr>
              <w:t>Issue price</w:t>
            </w:r>
          </w:p>
        </w:tc>
      </w:tr>
      <w:tr w:rsidR="008A1149" w:rsidRPr="00537D1E" w14:paraId="467DD0AD" w14:textId="77777777" w:rsidTr="00AB1DC6">
        <w:trPr>
          <w:trHeight w:val="283"/>
        </w:trPr>
        <w:tc>
          <w:tcPr>
            <w:tcW w:w="5046" w:type="dxa"/>
            <w:gridSpan w:val="2"/>
            <w:tcBorders>
              <w:bottom w:val="single" w:sz="4" w:space="0" w:color="auto"/>
            </w:tcBorders>
            <w:shd w:val="clear" w:color="auto" w:fill="auto"/>
            <w:noWrap/>
            <w:vAlign w:val="bottom"/>
          </w:tcPr>
          <w:p w14:paraId="5DEAD8CF" w14:textId="77777777" w:rsidR="008A1149" w:rsidRPr="00537D1E" w:rsidRDefault="008A1149" w:rsidP="00AB1DC6">
            <w:pPr>
              <w:spacing w:after="0" w:line="240" w:lineRule="auto"/>
              <w:rPr>
                <w:rFonts w:ascii="Arial" w:eastAsia="Times New Roman" w:hAnsi="Arial" w:cs="Arial"/>
                <w:color w:val="000000"/>
                <w:sz w:val="20"/>
                <w:szCs w:val="20"/>
                <w:lang w:eastAsia="en-GB"/>
              </w:rPr>
            </w:pPr>
          </w:p>
        </w:tc>
        <w:tc>
          <w:tcPr>
            <w:tcW w:w="1617" w:type="dxa"/>
            <w:tcBorders>
              <w:bottom w:val="single" w:sz="4" w:space="0" w:color="auto"/>
            </w:tcBorders>
            <w:vAlign w:val="bottom"/>
          </w:tcPr>
          <w:p w14:paraId="158C6979" w14:textId="77777777" w:rsidR="008A1149" w:rsidRPr="00BB1BCC" w:rsidRDefault="008A1149" w:rsidP="00AB1DC6">
            <w:pPr>
              <w:spacing w:after="0" w:line="240" w:lineRule="auto"/>
              <w:jc w:val="right"/>
              <w:rPr>
                <w:rFonts w:ascii="Arial" w:eastAsia="Times New Roman" w:hAnsi="Arial" w:cs="Arial"/>
                <w:b/>
                <w:bCs/>
                <w:color w:val="000000"/>
                <w:sz w:val="20"/>
                <w:szCs w:val="20"/>
                <w:lang w:eastAsia="en-GB"/>
              </w:rPr>
            </w:pPr>
            <w:r w:rsidRPr="00BB1BCC">
              <w:rPr>
                <w:rFonts w:ascii="Arial" w:eastAsia="Times New Roman" w:hAnsi="Arial" w:cs="Arial"/>
                <w:b/>
                <w:bCs/>
                <w:color w:val="000000"/>
                <w:sz w:val="20"/>
                <w:szCs w:val="20"/>
                <w:lang w:eastAsia="en-GB"/>
              </w:rPr>
              <w:t>£’m</w:t>
            </w:r>
          </w:p>
        </w:tc>
        <w:tc>
          <w:tcPr>
            <w:tcW w:w="1858" w:type="dxa"/>
            <w:tcBorders>
              <w:bottom w:val="single" w:sz="4" w:space="0" w:color="auto"/>
            </w:tcBorders>
          </w:tcPr>
          <w:p w14:paraId="46B70C7E" w14:textId="77777777" w:rsidR="008A1149" w:rsidRPr="00BB1BCC" w:rsidRDefault="008A1149" w:rsidP="00AB1DC6">
            <w:pPr>
              <w:spacing w:after="0" w:line="240" w:lineRule="auto"/>
              <w:jc w:val="right"/>
              <w:rPr>
                <w:rFonts w:ascii="Arial" w:hAnsi="Arial" w:cs="Arial"/>
                <w:b/>
                <w:bCs/>
                <w:color w:val="000000"/>
                <w:sz w:val="20"/>
                <w:szCs w:val="20"/>
              </w:rPr>
            </w:pPr>
          </w:p>
        </w:tc>
        <w:tc>
          <w:tcPr>
            <w:tcW w:w="1202" w:type="dxa"/>
            <w:tcBorders>
              <w:bottom w:val="single" w:sz="4" w:space="0" w:color="auto"/>
            </w:tcBorders>
          </w:tcPr>
          <w:p w14:paraId="776706D3" w14:textId="77777777" w:rsidR="008A1149" w:rsidRPr="00BB1BCC" w:rsidRDefault="008A1149" w:rsidP="00AB1DC6">
            <w:pPr>
              <w:spacing w:after="0" w:line="240" w:lineRule="auto"/>
              <w:jc w:val="center"/>
              <w:rPr>
                <w:rFonts w:ascii="Arial" w:hAnsi="Arial" w:cs="Arial"/>
                <w:b/>
                <w:bCs/>
                <w:color w:val="000000"/>
                <w:sz w:val="20"/>
                <w:szCs w:val="20"/>
              </w:rPr>
            </w:pPr>
          </w:p>
        </w:tc>
      </w:tr>
      <w:tr w:rsidR="008A1149" w:rsidRPr="00537D1E" w14:paraId="53BE72B7" w14:textId="77777777" w:rsidTr="00AB1DC6">
        <w:trPr>
          <w:trHeight w:val="283"/>
        </w:trPr>
        <w:tc>
          <w:tcPr>
            <w:tcW w:w="5046" w:type="dxa"/>
            <w:gridSpan w:val="2"/>
            <w:tcBorders>
              <w:top w:val="single" w:sz="4" w:space="0" w:color="auto"/>
              <w:bottom w:val="single" w:sz="4" w:space="0" w:color="auto"/>
            </w:tcBorders>
            <w:shd w:val="clear" w:color="auto" w:fill="auto"/>
            <w:noWrap/>
            <w:vAlign w:val="bottom"/>
          </w:tcPr>
          <w:p w14:paraId="63BB58C8" w14:textId="77777777" w:rsidR="008A1149" w:rsidRPr="00BB1BCC" w:rsidRDefault="008A1149" w:rsidP="00AB1DC6">
            <w:pPr>
              <w:spacing w:after="0" w:line="240" w:lineRule="auto"/>
              <w:rPr>
                <w:rFonts w:ascii="Arial" w:eastAsia="Times New Roman" w:hAnsi="Arial" w:cs="Arial"/>
                <w:b/>
                <w:bCs/>
                <w:color w:val="000000"/>
                <w:sz w:val="20"/>
                <w:szCs w:val="20"/>
                <w:lang w:eastAsia="en-GB"/>
              </w:rPr>
            </w:pPr>
            <w:r w:rsidRPr="005D5DCC">
              <w:rPr>
                <w:rFonts w:ascii="Arial" w:eastAsia="Times New Roman" w:hAnsi="Arial" w:cs="Arial"/>
                <w:b/>
                <w:bCs/>
                <w:color w:val="000000"/>
                <w:sz w:val="20"/>
                <w:szCs w:val="20"/>
                <w:lang w:eastAsia="en-GB"/>
              </w:rPr>
              <w:t>1 April 2022</w:t>
            </w:r>
          </w:p>
        </w:tc>
        <w:tc>
          <w:tcPr>
            <w:tcW w:w="1617" w:type="dxa"/>
            <w:tcBorders>
              <w:top w:val="single" w:sz="4" w:space="0" w:color="auto"/>
              <w:bottom w:val="single" w:sz="4" w:space="0" w:color="auto"/>
            </w:tcBorders>
            <w:vAlign w:val="bottom"/>
          </w:tcPr>
          <w:p w14:paraId="2549EBFD"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r w:rsidRPr="00F526AD">
              <w:rPr>
                <w:rFonts w:ascii="Arial" w:eastAsia="Times New Roman" w:hAnsi="Arial" w:cs="Arial"/>
                <w:color w:val="000000"/>
                <w:sz w:val="20"/>
                <w:szCs w:val="20"/>
                <w:lang w:eastAsia="en-GB"/>
              </w:rPr>
              <w:t>47.9</w:t>
            </w:r>
          </w:p>
        </w:tc>
        <w:tc>
          <w:tcPr>
            <w:tcW w:w="1858" w:type="dxa"/>
            <w:tcBorders>
              <w:top w:val="single" w:sz="4" w:space="0" w:color="auto"/>
              <w:bottom w:val="single" w:sz="4" w:space="0" w:color="auto"/>
            </w:tcBorders>
            <w:vAlign w:val="bottom"/>
          </w:tcPr>
          <w:p w14:paraId="1FEF2201" w14:textId="77777777" w:rsidR="008A1149" w:rsidRPr="006D7846" w:rsidRDefault="008A1149" w:rsidP="00AB1DC6">
            <w:pPr>
              <w:spacing w:after="0" w:line="240" w:lineRule="auto"/>
              <w:jc w:val="right"/>
              <w:rPr>
                <w:rFonts w:ascii="Arial" w:hAnsi="Arial" w:cs="Arial"/>
                <w:sz w:val="20"/>
                <w:szCs w:val="20"/>
              </w:rPr>
            </w:pPr>
            <w:r w:rsidRPr="00F526AD">
              <w:rPr>
                <w:rFonts w:ascii="Arial" w:hAnsi="Arial" w:cs="Arial"/>
                <w:sz w:val="20"/>
                <w:szCs w:val="20"/>
              </w:rPr>
              <w:t>95,833,853</w:t>
            </w:r>
          </w:p>
        </w:tc>
        <w:tc>
          <w:tcPr>
            <w:tcW w:w="1202" w:type="dxa"/>
            <w:tcBorders>
              <w:top w:val="single" w:sz="4" w:space="0" w:color="auto"/>
              <w:bottom w:val="single" w:sz="4" w:space="0" w:color="auto"/>
            </w:tcBorders>
            <w:vAlign w:val="bottom"/>
          </w:tcPr>
          <w:p w14:paraId="33F832B7" w14:textId="77777777" w:rsidR="008A1149" w:rsidRPr="006D7846" w:rsidRDefault="008A1149" w:rsidP="00AB1DC6">
            <w:pPr>
              <w:spacing w:after="0" w:line="240" w:lineRule="auto"/>
              <w:jc w:val="right"/>
              <w:rPr>
                <w:rFonts w:ascii="Arial" w:hAnsi="Arial" w:cs="Arial"/>
                <w:sz w:val="20"/>
                <w:szCs w:val="20"/>
              </w:rPr>
            </w:pPr>
          </w:p>
        </w:tc>
      </w:tr>
      <w:tr w:rsidR="008A1149" w:rsidRPr="00537D1E" w14:paraId="75AA85EC" w14:textId="77777777" w:rsidTr="00AB1DC6">
        <w:trPr>
          <w:trHeight w:val="283"/>
        </w:trPr>
        <w:tc>
          <w:tcPr>
            <w:tcW w:w="5046" w:type="dxa"/>
            <w:gridSpan w:val="2"/>
            <w:tcBorders>
              <w:top w:val="single" w:sz="4" w:space="0" w:color="auto"/>
            </w:tcBorders>
            <w:shd w:val="clear" w:color="auto" w:fill="auto"/>
            <w:noWrap/>
            <w:vAlign w:val="bottom"/>
          </w:tcPr>
          <w:p w14:paraId="4C43C752" w14:textId="77777777" w:rsidR="008A1149" w:rsidRPr="00537D1E" w:rsidRDefault="008A1149" w:rsidP="00AB1DC6">
            <w:pPr>
              <w:spacing w:after="0" w:line="240" w:lineRule="auto"/>
              <w:rPr>
                <w:rFonts w:ascii="Arial" w:eastAsia="Times New Roman" w:hAnsi="Arial" w:cs="Arial"/>
                <w:color w:val="000000"/>
                <w:sz w:val="20"/>
                <w:szCs w:val="20"/>
                <w:lang w:eastAsia="en-GB"/>
              </w:rPr>
            </w:pPr>
            <w:r w:rsidRPr="005D5DCC">
              <w:rPr>
                <w:rFonts w:ascii="Arial" w:eastAsia="Times New Roman" w:hAnsi="Arial" w:cs="Arial"/>
                <w:color w:val="000000"/>
                <w:sz w:val="20"/>
                <w:szCs w:val="20"/>
                <w:lang w:eastAsia="en-GB"/>
              </w:rPr>
              <w:t>11 April 2022 - Share Options ("SAYE 2020")</w:t>
            </w:r>
          </w:p>
        </w:tc>
        <w:tc>
          <w:tcPr>
            <w:tcW w:w="1617" w:type="dxa"/>
            <w:tcBorders>
              <w:top w:val="single" w:sz="4" w:space="0" w:color="auto"/>
            </w:tcBorders>
            <w:vAlign w:val="bottom"/>
          </w:tcPr>
          <w:p w14:paraId="5F4283C2"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p>
        </w:tc>
        <w:tc>
          <w:tcPr>
            <w:tcW w:w="1858" w:type="dxa"/>
            <w:tcBorders>
              <w:top w:val="single" w:sz="4" w:space="0" w:color="auto"/>
            </w:tcBorders>
            <w:vAlign w:val="bottom"/>
          </w:tcPr>
          <w:p w14:paraId="15C583B1"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1,630</w:t>
            </w:r>
          </w:p>
        </w:tc>
        <w:tc>
          <w:tcPr>
            <w:tcW w:w="1202" w:type="dxa"/>
            <w:tcBorders>
              <w:top w:val="single" w:sz="4" w:space="0" w:color="auto"/>
            </w:tcBorders>
            <w:vAlign w:val="bottom"/>
          </w:tcPr>
          <w:p w14:paraId="5559EB73"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460p</w:t>
            </w:r>
          </w:p>
        </w:tc>
      </w:tr>
      <w:tr w:rsidR="008A1149" w:rsidRPr="00537D1E" w14:paraId="32C4A2DF" w14:textId="77777777" w:rsidTr="00AB1DC6">
        <w:trPr>
          <w:trHeight w:val="283"/>
        </w:trPr>
        <w:tc>
          <w:tcPr>
            <w:tcW w:w="5046" w:type="dxa"/>
            <w:gridSpan w:val="2"/>
            <w:shd w:val="clear" w:color="auto" w:fill="auto"/>
            <w:noWrap/>
            <w:vAlign w:val="bottom"/>
          </w:tcPr>
          <w:p w14:paraId="29E0A533" w14:textId="77777777" w:rsidR="008A1149" w:rsidRDefault="008A1149" w:rsidP="00AB1DC6">
            <w:pPr>
              <w:spacing w:after="0" w:line="240" w:lineRule="auto"/>
              <w:rPr>
                <w:rFonts w:ascii="Arial" w:eastAsia="Times New Roman" w:hAnsi="Arial" w:cs="Arial"/>
                <w:color w:val="000000"/>
                <w:sz w:val="20"/>
                <w:szCs w:val="20"/>
                <w:lang w:eastAsia="en-GB"/>
              </w:rPr>
            </w:pPr>
            <w:r w:rsidRPr="005D5DCC">
              <w:rPr>
                <w:rFonts w:ascii="Arial" w:eastAsia="Times New Roman" w:hAnsi="Arial" w:cs="Arial"/>
                <w:color w:val="000000"/>
                <w:sz w:val="20"/>
                <w:szCs w:val="20"/>
                <w:lang w:eastAsia="en-GB"/>
              </w:rPr>
              <w:t>26 April 2022 - Share Options ("SAYE 2020")</w:t>
            </w:r>
          </w:p>
        </w:tc>
        <w:tc>
          <w:tcPr>
            <w:tcW w:w="1617" w:type="dxa"/>
            <w:vAlign w:val="bottom"/>
          </w:tcPr>
          <w:p w14:paraId="2A2E4FC0"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p>
        </w:tc>
        <w:tc>
          <w:tcPr>
            <w:tcW w:w="1858" w:type="dxa"/>
            <w:vAlign w:val="bottom"/>
          </w:tcPr>
          <w:p w14:paraId="4DB63165"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2,065</w:t>
            </w:r>
          </w:p>
        </w:tc>
        <w:tc>
          <w:tcPr>
            <w:tcW w:w="1202" w:type="dxa"/>
            <w:vAlign w:val="bottom"/>
          </w:tcPr>
          <w:p w14:paraId="6191D5D1"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460p</w:t>
            </w:r>
          </w:p>
        </w:tc>
      </w:tr>
      <w:tr w:rsidR="008A1149" w:rsidRPr="00537D1E" w14:paraId="13C14FDC" w14:textId="77777777" w:rsidTr="00AB1DC6">
        <w:trPr>
          <w:trHeight w:val="283"/>
        </w:trPr>
        <w:tc>
          <w:tcPr>
            <w:tcW w:w="5046" w:type="dxa"/>
            <w:gridSpan w:val="2"/>
            <w:shd w:val="clear" w:color="auto" w:fill="auto"/>
            <w:noWrap/>
            <w:vAlign w:val="bottom"/>
          </w:tcPr>
          <w:p w14:paraId="3CA906B9" w14:textId="77777777" w:rsidR="008A1149" w:rsidRDefault="008A1149" w:rsidP="00AB1DC6">
            <w:pPr>
              <w:spacing w:after="0" w:line="240" w:lineRule="auto"/>
              <w:rPr>
                <w:rFonts w:ascii="Arial" w:eastAsia="Times New Roman" w:hAnsi="Arial" w:cs="Arial"/>
                <w:color w:val="000000"/>
                <w:sz w:val="20"/>
                <w:szCs w:val="20"/>
                <w:lang w:eastAsia="en-GB"/>
              </w:rPr>
            </w:pPr>
            <w:r w:rsidRPr="005D5DCC">
              <w:rPr>
                <w:rFonts w:ascii="Arial" w:eastAsia="Times New Roman" w:hAnsi="Arial" w:cs="Arial"/>
                <w:color w:val="000000"/>
                <w:sz w:val="20"/>
                <w:szCs w:val="20"/>
                <w:lang w:eastAsia="en-GB"/>
              </w:rPr>
              <w:t>23 May 2022 - Share Options ("SAYE 2020")</w:t>
            </w:r>
          </w:p>
        </w:tc>
        <w:tc>
          <w:tcPr>
            <w:tcW w:w="1617" w:type="dxa"/>
            <w:vAlign w:val="bottom"/>
          </w:tcPr>
          <w:p w14:paraId="3B73CC83"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p>
        </w:tc>
        <w:tc>
          <w:tcPr>
            <w:tcW w:w="1858" w:type="dxa"/>
            <w:vAlign w:val="bottom"/>
          </w:tcPr>
          <w:p w14:paraId="6479873E"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923</w:t>
            </w:r>
          </w:p>
        </w:tc>
        <w:tc>
          <w:tcPr>
            <w:tcW w:w="1202" w:type="dxa"/>
            <w:vAlign w:val="bottom"/>
          </w:tcPr>
          <w:p w14:paraId="25464492"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460p</w:t>
            </w:r>
          </w:p>
        </w:tc>
      </w:tr>
      <w:tr w:rsidR="008A1149" w:rsidRPr="00537D1E" w14:paraId="0BB3EDE1" w14:textId="77777777" w:rsidTr="00AB1DC6">
        <w:trPr>
          <w:trHeight w:val="283"/>
        </w:trPr>
        <w:tc>
          <w:tcPr>
            <w:tcW w:w="5046" w:type="dxa"/>
            <w:gridSpan w:val="2"/>
            <w:shd w:val="clear" w:color="auto" w:fill="auto"/>
            <w:noWrap/>
            <w:vAlign w:val="bottom"/>
          </w:tcPr>
          <w:p w14:paraId="7A2174F3" w14:textId="77777777" w:rsidR="008A1149" w:rsidRDefault="008A1149" w:rsidP="00AB1DC6">
            <w:pPr>
              <w:spacing w:after="0" w:line="240" w:lineRule="auto"/>
              <w:rPr>
                <w:rFonts w:ascii="Arial" w:eastAsia="Times New Roman" w:hAnsi="Arial" w:cs="Arial"/>
                <w:color w:val="000000"/>
                <w:sz w:val="20"/>
                <w:szCs w:val="20"/>
                <w:lang w:eastAsia="en-GB"/>
              </w:rPr>
            </w:pPr>
            <w:r w:rsidRPr="005D5DCC">
              <w:rPr>
                <w:rFonts w:ascii="Arial" w:eastAsia="Times New Roman" w:hAnsi="Arial" w:cs="Arial"/>
                <w:color w:val="000000"/>
                <w:sz w:val="20"/>
                <w:szCs w:val="20"/>
                <w:lang w:eastAsia="en-GB"/>
              </w:rPr>
              <w:t xml:space="preserve">4 July 2022 - Marlowe plc Long Term Incentive Plan 2019 </w:t>
            </w:r>
          </w:p>
        </w:tc>
        <w:tc>
          <w:tcPr>
            <w:tcW w:w="1617" w:type="dxa"/>
            <w:vAlign w:val="bottom"/>
          </w:tcPr>
          <w:p w14:paraId="709079CC"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p>
        </w:tc>
        <w:tc>
          <w:tcPr>
            <w:tcW w:w="1858" w:type="dxa"/>
            <w:vAlign w:val="bottom"/>
          </w:tcPr>
          <w:p w14:paraId="719D7A1F"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37,879</w:t>
            </w:r>
          </w:p>
        </w:tc>
        <w:tc>
          <w:tcPr>
            <w:tcW w:w="1202" w:type="dxa"/>
            <w:vAlign w:val="bottom"/>
          </w:tcPr>
          <w:p w14:paraId="4162F092"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50p</w:t>
            </w:r>
          </w:p>
        </w:tc>
      </w:tr>
      <w:tr w:rsidR="008A1149" w:rsidRPr="00537D1E" w14:paraId="69521790" w14:textId="77777777" w:rsidTr="00AB1DC6">
        <w:trPr>
          <w:trHeight w:val="283"/>
        </w:trPr>
        <w:tc>
          <w:tcPr>
            <w:tcW w:w="5046" w:type="dxa"/>
            <w:gridSpan w:val="2"/>
            <w:shd w:val="clear" w:color="auto" w:fill="auto"/>
            <w:noWrap/>
            <w:vAlign w:val="bottom"/>
          </w:tcPr>
          <w:p w14:paraId="10B9863E" w14:textId="77777777" w:rsidR="008A1149" w:rsidRDefault="008A1149" w:rsidP="00AB1DC6">
            <w:pPr>
              <w:spacing w:after="0" w:line="240" w:lineRule="auto"/>
              <w:rPr>
                <w:rFonts w:ascii="Arial" w:eastAsia="Times New Roman" w:hAnsi="Arial" w:cs="Arial"/>
                <w:color w:val="000000"/>
                <w:sz w:val="20"/>
                <w:szCs w:val="20"/>
                <w:lang w:eastAsia="en-GB"/>
              </w:rPr>
            </w:pPr>
            <w:r w:rsidRPr="005D5DCC">
              <w:rPr>
                <w:rFonts w:ascii="Arial" w:eastAsia="Times New Roman" w:hAnsi="Arial" w:cs="Arial"/>
                <w:color w:val="000000"/>
                <w:sz w:val="20"/>
                <w:szCs w:val="20"/>
                <w:lang w:eastAsia="en-GB"/>
              </w:rPr>
              <w:t>5 July 2022 - Share Options ("SAYE 2020")</w:t>
            </w:r>
          </w:p>
        </w:tc>
        <w:tc>
          <w:tcPr>
            <w:tcW w:w="1617" w:type="dxa"/>
            <w:vAlign w:val="bottom"/>
          </w:tcPr>
          <w:p w14:paraId="385FA029"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p>
        </w:tc>
        <w:tc>
          <w:tcPr>
            <w:tcW w:w="1858" w:type="dxa"/>
            <w:vAlign w:val="bottom"/>
          </w:tcPr>
          <w:p w14:paraId="4790221B"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1,173</w:t>
            </w:r>
          </w:p>
        </w:tc>
        <w:tc>
          <w:tcPr>
            <w:tcW w:w="1202" w:type="dxa"/>
            <w:vAlign w:val="bottom"/>
          </w:tcPr>
          <w:p w14:paraId="7F793E25"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460p</w:t>
            </w:r>
          </w:p>
        </w:tc>
      </w:tr>
      <w:tr w:rsidR="008A1149" w:rsidRPr="00537D1E" w14:paraId="6B41CB1A" w14:textId="77777777" w:rsidTr="00AB1DC6">
        <w:trPr>
          <w:trHeight w:val="283"/>
        </w:trPr>
        <w:tc>
          <w:tcPr>
            <w:tcW w:w="5046" w:type="dxa"/>
            <w:gridSpan w:val="2"/>
            <w:shd w:val="clear" w:color="auto" w:fill="auto"/>
            <w:noWrap/>
            <w:vAlign w:val="bottom"/>
          </w:tcPr>
          <w:p w14:paraId="0D5ECE8D" w14:textId="77777777" w:rsidR="008A1149" w:rsidRDefault="008A1149" w:rsidP="00AB1DC6">
            <w:pPr>
              <w:spacing w:after="0" w:line="240" w:lineRule="auto"/>
              <w:rPr>
                <w:rFonts w:ascii="Arial" w:eastAsia="Times New Roman" w:hAnsi="Arial" w:cs="Arial"/>
                <w:color w:val="000000"/>
                <w:sz w:val="20"/>
                <w:szCs w:val="20"/>
                <w:lang w:eastAsia="en-GB"/>
              </w:rPr>
            </w:pPr>
            <w:r w:rsidRPr="005D5DCC">
              <w:rPr>
                <w:rFonts w:ascii="Arial" w:eastAsia="Times New Roman" w:hAnsi="Arial" w:cs="Arial"/>
                <w:color w:val="000000"/>
                <w:sz w:val="20"/>
                <w:szCs w:val="20"/>
                <w:lang w:eastAsia="en-GB"/>
              </w:rPr>
              <w:t>18 August 2022 - Share Options ("SAYE 2020")</w:t>
            </w:r>
          </w:p>
        </w:tc>
        <w:tc>
          <w:tcPr>
            <w:tcW w:w="1617" w:type="dxa"/>
            <w:vAlign w:val="bottom"/>
          </w:tcPr>
          <w:p w14:paraId="0926A588"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p>
        </w:tc>
        <w:tc>
          <w:tcPr>
            <w:tcW w:w="1858" w:type="dxa"/>
            <w:vAlign w:val="bottom"/>
          </w:tcPr>
          <w:p w14:paraId="2AA90FA0"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413</w:t>
            </w:r>
          </w:p>
        </w:tc>
        <w:tc>
          <w:tcPr>
            <w:tcW w:w="1202" w:type="dxa"/>
            <w:vAlign w:val="bottom"/>
          </w:tcPr>
          <w:p w14:paraId="32C92FF6"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460p</w:t>
            </w:r>
          </w:p>
        </w:tc>
      </w:tr>
      <w:tr w:rsidR="008A1149" w:rsidRPr="00537D1E" w14:paraId="4A2CD75B" w14:textId="77777777" w:rsidTr="00AB1DC6">
        <w:trPr>
          <w:trHeight w:val="283"/>
        </w:trPr>
        <w:tc>
          <w:tcPr>
            <w:tcW w:w="5046" w:type="dxa"/>
            <w:gridSpan w:val="2"/>
            <w:shd w:val="clear" w:color="auto" w:fill="auto"/>
            <w:noWrap/>
            <w:vAlign w:val="bottom"/>
          </w:tcPr>
          <w:p w14:paraId="5619A35F" w14:textId="77777777" w:rsidR="008A1149" w:rsidRDefault="008A1149" w:rsidP="00AB1DC6">
            <w:pPr>
              <w:spacing w:after="0" w:line="240" w:lineRule="auto"/>
              <w:rPr>
                <w:rFonts w:ascii="Arial" w:eastAsia="Times New Roman" w:hAnsi="Arial" w:cs="Arial"/>
                <w:color w:val="000000"/>
                <w:sz w:val="20"/>
                <w:szCs w:val="20"/>
                <w:lang w:eastAsia="en-GB"/>
              </w:rPr>
            </w:pPr>
            <w:r w:rsidRPr="005D5DCC">
              <w:rPr>
                <w:rFonts w:ascii="Arial" w:eastAsia="Times New Roman" w:hAnsi="Arial" w:cs="Arial"/>
                <w:color w:val="000000"/>
                <w:sz w:val="20"/>
                <w:szCs w:val="20"/>
                <w:lang w:eastAsia="en-GB"/>
              </w:rPr>
              <w:t>19 October 2022 - Share Options ("SAYE 2020")</w:t>
            </w:r>
          </w:p>
        </w:tc>
        <w:tc>
          <w:tcPr>
            <w:tcW w:w="1617" w:type="dxa"/>
            <w:vAlign w:val="bottom"/>
          </w:tcPr>
          <w:p w14:paraId="309D6854"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p>
        </w:tc>
        <w:tc>
          <w:tcPr>
            <w:tcW w:w="1858" w:type="dxa"/>
            <w:vAlign w:val="bottom"/>
          </w:tcPr>
          <w:p w14:paraId="21B818D0"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1,195</w:t>
            </w:r>
          </w:p>
        </w:tc>
        <w:tc>
          <w:tcPr>
            <w:tcW w:w="1202" w:type="dxa"/>
            <w:vAlign w:val="bottom"/>
          </w:tcPr>
          <w:p w14:paraId="2E9CA32E"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460p</w:t>
            </w:r>
          </w:p>
        </w:tc>
      </w:tr>
      <w:tr w:rsidR="008A1149" w:rsidRPr="00537D1E" w14:paraId="4729813E" w14:textId="77777777" w:rsidTr="00AB1DC6">
        <w:trPr>
          <w:trHeight w:val="283"/>
        </w:trPr>
        <w:tc>
          <w:tcPr>
            <w:tcW w:w="5046" w:type="dxa"/>
            <w:gridSpan w:val="2"/>
            <w:tcBorders>
              <w:bottom w:val="single" w:sz="4" w:space="0" w:color="auto"/>
            </w:tcBorders>
            <w:shd w:val="clear" w:color="auto" w:fill="auto"/>
            <w:noWrap/>
            <w:vAlign w:val="bottom"/>
          </w:tcPr>
          <w:p w14:paraId="354E8804" w14:textId="77777777" w:rsidR="008A1149" w:rsidRPr="00537D1E" w:rsidRDefault="008A1149" w:rsidP="00AB1DC6">
            <w:pPr>
              <w:spacing w:after="0" w:line="240" w:lineRule="auto"/>
              <w:rPr>
                <w:rFonts w:ascii="Arial" w:eastAsia="Times New Roman" w:hAnsi="Arial" w:cs="Arial"/>
                <w:color w:val="000000"/>
                <w:sz w:val="20"/>
                <w:szCs w:val="20"/>
                <w:lang w:eastAsia="en-GB"/>
              </w:rPr>
            </w:pPr>
            <w:r w:rsidRPr="005D5DCC">
              <w:rPr>
                <w:rFonts w:ascii="Arial" w:eastAsia="Times New Roman" w:hAnsi="Arial" w:cs="Arial"/>
                <w:color w:val="000000"/>
                <w:sz w:val="20"/>
                <w:szCs w:val="20"/>
                <w:lang w:eastAsia="en-GB"/>
              </w:rPr>
              <w:t>24 November 2022 - Share Options ("SAYE 2020")</w:t>
            </w:r>
          </w:p>
        </w:tc>
        <w:tc>
          <w:tcPr>
            <w:tcW w:w="1617" w:type="dxa"/>
            <w:tcBorders>
              <w:bottom w:val="single" w:sz="4" w:space="0" w:color="auto"/>
            </w:tcBorders>
            <w:vAlign w:val="bottom"/>
          </w:tcPr>
          <w:p w14:paraId="20C4BFA5" w14:textId="77777777" w:rsidR="008A1149" w:rsidRPr="006D7846" w:rsidRDefault="008A1149" w:rsidP="00AB1DC6">
            <w:pPr>
              <w:spacing w:after="0" w:line="240" w:lineRule="auto"/>
              <w:jc w:val="right"/>
              <w:rPr>
                <w:rFonts w:ascii="Arial" w:eastAsia="Times New Roman" w:hAnsi="Arial" w:cs="Arial"/>
                <w:color w:val="000000"/>
                <w:sz w:val="20"/>
                <w:szCs w:val="20"/>
                <w:lang w:eastAsia="en-GB"/>
              </w:rPr>
            </w:pPr>
          </w:p>
        </w:tc>
        <w:tc>
          <w:tcPr>
            <w:tcW w:w="1858" w:type="dxa"/>
            <w:tcBorders>
              <w:bottom w:val="single" w:sz="4" w:space="0" w:color="auto"/>
            </w:tcBorders>
            <w:vAlign w:val="bottom"/>
          </w:tcPr>
          <w:p w14:paraId="36F8EDA4"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2,934</w:t>
            </w:r>
          </w:p>
        </w:tc>
        <w:tc>
          <w:tcPr>
            <w:tcW w:w="1202" w:type="dxa"/>
            <w:tcBorders>
              <w:bottom w:val="single" w:sz="4" w:space="0" w:color="auto"/>
            </w:tcBorders>
            <w:vAlign w:val="bottom"/>
          </w:tcPr>
          <w:p w14:paraId="06C1781C" w14:textId="77777777" w:rsidR="008A1149" w:rsidRPr="006D7846" w:rsidRDefault="008A1149" w:rsidP="00AB1DC6">
            <w:pPr>
              <w:spacing w:after="0" w:line="240" w:lineRule="auto"/>
              <w:jc w:val="right"/>
              <w:rPr>
                <w:rFonts w:ascii="Arial" w:hAnsi="Arial" w:cs="Arial"/>
                <w:sz w:val="20"/>
                <w:szCs w:val="20"/>
              </w:rPr>
            </w:pPr>
            <w:r w:rsidRPr="005D5DCC">
              <w:rPr>
                <w:rFonts w:ascii="Arial" w:eastAsia="Times New Roman" w:hAnsi="Arial" w:cs="Arial"/>
                <w:color w:val="000000"/>
                <w:sz w:val="20"/>
                <w:szCs w:val="20"/>
                <w:lang w:eastAsia="en-GB"/>
              </w:rPr>
              <w:t>460p</w:t>
            </w:r>
          </w:p>
        </w:tc>
      </w:tr>
      <w:tr w:rsidR="008A1149" w:rsidRPr="004D7811" w14:paraId="570BC6B2" w14:textId="77777777" w:rsidTr="00AB1DC6">
        <w:trPr>
          <w:trHeight w:val="283"/>
        </w:trPr>
        <w:tc>
          <w:tcPr>
            <w:tcW w:w="5046" w:type="dxa"/>
            <w:gridSpan w:val="2"/>
            <w:tcBorders>
              <w:top w:val="single" w:sz="4" w:space="0" w:color="auto"/>
              <w:bottom w:val="single" w:sz="4" w:space="0" w:color="auto"/>
            </w:tcBorders>
            <w:shd w:val="clear" w:color="auto" w:fill="auto"/>
            <w:noWrap/>
            <w:vAlign w:val="bottom"/>
          </w:tcPr>
          <w:p w14:paraId="1E5014C5" w14:textId="77777777" w:rsidR="008A1149" w:rsidRPr="00BB1BCC" w:rsidRDefault="008A1149" w:rsidP="00AB1DC6">
            <w:pPr>
              <w:spacing w:after="0" w:line="240" w:lineRule="auto"/>
              <w:rPr>
                <w:rFonts w:ascii="Arial" w:eastAsia="Times New Roman" w:hAnsi="Arial" w:cs="Arial"/>
                <w:b/>
                <w:bCs/>
                <w:color w:val="000000"/>
                <w:sz w:val="20"/>
                <w:szCs w:val="20"/>
                <w:lang w:eastAsia="en-GB"/>
              </w:rPr>
            </w:pPr>
            <w:r w:rsidRPr="00F526AD">
              <w:rPr>
                <w:rFonts w:ascii="Arial" w:eastAsia="Times New Roman" w:hAnsi="Arial" w:cs="Arial"/>
                <w:b/>
                <w:bCs/>
                <w:color w:val="000000"/>
                <w:sz w:val="20"/>
                <w:szCs w:val="20"/>
                <w:lang w:eastAsia="en-GB"/>
              </w:rPr>
              <w:t>31 March 2023</w:t>
            </w:r>
          </w:p>
        </w:tc>
        <w:tc>
          <w:tcPr>
            <w:tcW w:w="1617" w:type="dxa"/>
            <w:tcBorders>
              <w:top w:val="single" w:sz="4" w:space="0" w:color="auto"/>
              <w:bottom w:val="single" w:sz="4" w:space="0" w:color="auto"/>
            </w:tcBorders>
            <w:vAlign w:val="bottom"/>
          </w:tcPr>
          <w:p w14:paraId="01399CF7" w14:textId="77777777" w:rsidR="008A1149" w:rsidRPr="001F71DB" w:rsidRDefault="008A1149" w:rsidP="00AB1DC6">
            <w:pPr>
              <w:spacing w:after="0" w:line="240" w:lineRule="auto"/>
              <w:jc w:val="right"/>
              <w:rPr>
                <w:rFonts w:ascii="Arial" w:eastAsia="Times New Roman" w:hAnsi="Arial" w:cs="Arial"/>
                <w:b/>
                <w:sz w:val="20"/>
                <w:szCs w:val="20"/>
                <w:lang w:eastAsia="en-GB"/>
              </w:rPr>
            </w:pPr>
            <w:r w:rsidRPr="001F71DB">
              <w:rPr>
                <w:rFonts w:ascii="Arial" w:eastAsia="Times New Roman" w:hAnsi="Arial" w:cs="Arial"/>
                <w:b/>
                <w:sz w:val="20"/>
                <w:szCs w:val="20"/>
                <w:lang w:eastAsia="en-GB"/>
              </w:rPr>
              <w:t>47.9</w:t>
            </w:r>
          </w:p>
        </w:tc>
        <w:tc>
          <w:tcPr>
            <w:tcW w:w="1858" w:type="dxa"/>
            <w:tcBorders>
              <w:top w:val="single" w:sz="4" w:space="0" w:color="auto"/>
              <w:bottom w:val="single" w:sz="4" w:space="0" w:color="auto"/>
            </w:tcBorders>
            <w:vAlign w:val="bottom"/>
          </w:tcPr>
          <w:p w14:paraId="1A476994" w14:textId="77777777" w:rsidR="008A1149" w:rsidRPr="001F71DB" w:rsidRDefault="008A1149" w:rsidP="00AB1DC6">
            <w:pPr>
              <w:spacing w:after="0" w:line="240" w:lineRule="auto"/>
              <w:jc w:val="right"/>
              <w:rPr>
                <w:rFonts w:ascii="Arial" w:hAnsi="Arial" w:cs="Arial"/>
                <w:b/>
                <w:sz w:val="20"/>
                <w:szCs w:val="20"/>
              </w:rPr>
            </w:pPr>
            <w:r w:rsidRPr="001F71DB">
              <w:rPr>
                <w:rFonts w:ascii="Arial" w:hAnsi="Arial" w:cs="Arial"/>
                <w:b/>
                <w:sz w:val="20"/>
                <w:szCs w:val="20"/>
              </w:rPr>
              <w:t>95,882,065</w:t>
            </w:r>
          </w:p>
        </w:tc>
        <w:tc>
          <w:tcPr>
            <w:tcW w:w="1202" w:type="dxa"/>
            <w:tcBorders>
              <w:top w:val="single" w:sz="4" w:space="0" w:color="auto"/>
              <w:bottom w:val="single" w:sz="4" w:space="0" w:color="auto"/>
            </w:tcBorders>
            <w:vAlign w:val="bottom"/>
          </w:tcPr>
          <w:p w14:paraId="40AA0EEF" w14:textId="77777777" w:rsidR="008A1149" w:rsidRPr="00C1761C" w:rsidRDefault="008A1149" w:rsidP="00AB1DC6">
            <w:pPr>
              <w:spacing w:after="0" w:line="240" w:lineRule="auto"/>
              <w:jc w:val="right"/>
              <w:rPr>
                <w:rFonts w:ascii="Arial" w:hAnsi="Arial" w:cs="Arial"/>
                <w:sz w:val="20"/>
                <w:szCs w:val="20"/>
              </w:rPr>
            </w:pPr>
          </w:p>
        </w:tc>
      </w:tr>
      <w:tr w:rsidR="008A1149" w:rsidRPr="00FB5DBA" w14:paraId="6164328F" w14:textId="77777777" w:rsidTr="00AB1DC6">
        <w:trPr>
          <w:trHeight w:val="283"/>
        </w:trPr>
        <w:tc>
          <w:tcPr>
            <w:tcW w:w="5046" w:type="dxa"/>
            <w:gridSpan w:val="2"/>
            <w:tcBorders>
              <w:top w:val="single" w:sz="4" w:space="0" w:color="auto"/>
            </w:tcBorders>
            <w:shd w:val="clear" w:color="auto" w:fill="auto"/>
            <w:noWrap/>
            <w:vAlign w:val="bottom"/>
          </w:tcPr>
          <w:p w14:paraId="79D270FA"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18 August 2023 - Share-based consideration for IMSM acquisition</w:t>
            </w:r>
          </w:p>
        </w:tc>
        <w:tc>
          <w:tcPr>
            <w:tcW w:w="1617" w:type="dxa"/>
            <w:tcBorders>
              <w:top w:val="single" w:sz="4" w:space="0" w:color="auto"/>
            </w:tcBorders>
            <w:vAlign w:val="bottom"/>
          </w:tcPr>
          <w:p w14:paraId="1945309E"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tcBorders>
              <w:top w:val="single" w:sz="4" w:space="0" w:color="auto"/>
            </w:tcBorders>
            <w:vAlign w:val="bottom"/>
          </w:tcPr>
          <w:p w14:paraId="0E66D260"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597,609</w:t>
            </w:r>
          </w:p>
        </w:tc>
        <w:tc>
          <w:tcPr>
            <w:tcW w:w="1202" w:type="dxa"/>
            <w:tcBorders>
              <w:top w:val="single" w:sz="4" w:space="0" w:color="auto"/>
            </w:tcBorders>
            <w:vAlign w:val="bottom"/>
          </w:tcPr>
          <w:p w14:paraId="19A17077"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502p</w:t>
            </w:r>
          </w:p>
        </w:tc>
      </w:tr>
      <w:tr w:rsidR="008A1149" w:rsidRPr="00FB5DBA" w14:paraId="700DF23E" w14:textId="77777777" w:rsidTr="00AB1DC6">
        <w:trPr>
          <w:trHeight w:val="283"/>
        </w:trPr>
        <w:tc>
          <w:tcPr>
            <w:tcW w:w="5046" w:type="dxa"/>
            <w:gridSpan w:val="2"/>
            <w:shd w:val="clear" w:color="auto" w:fill="auto"/>
            <w:noWrap/>
            <w:vAlign w:val="bottom"/>
          </w:tcPr>
          <w:p w14:paraId="5BF49407"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11 August 2023 - Share Options (“SAYE 2020”)</w:t>
            </w:r>
          </w:p>
        </w:tc>
        <w:tc>
          <w:tcPr>
            <w:tcW w:w="1617" w:type="dxa"/>
            <w:vAlign w:val="bottom"/>
          </w:tcPr>
          <w:p w14:paraId="50DFC8F4"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342D0E82" w14:textId="77777777" w:rsidR="008A1149" w:rsidRPr="00C1761C" w:rsidRDefault="008A1149" w:rsidP="00AB1DC6">
            <w:pPr>
              <w:spacing w:after="0" w:line="240" w:lineRule="auto"/>
              <w:jc w:val="right"/>
              <w:rPr>
                <w:rFonts w:ascii="Arial" w:eastAsia="Times New Roman" w:hAnsi="Arial" w:cs="Arial"/>
                <w:sz w:val="20"/>
                <w:szCs w:val="20"/>
                <w:lang w:eastAsia="en-GB"/>
              </w:rPr>
            </w:pPr>
            <w:r w:rsidRPr="00C1761C">
              <w:rPr>
                <w:rFonts w:ascii="Arial" w:eastAsia="Times New Roman" w:hAnsi="Arial" w:cs="Arial"/>
                <w:sz w:val="20"/>
                <w:szCs w:val="20"/>
                <w:lang w:eastAsia="en-GB"/>
              </w:rPr>
              <w:t xml:space="preserve">2,217 </w:t>
            </w:r>
          </w:p>
        </w:tc>
        <w:tc>
          <w:tcPr>
            <w:tcW w:w="1202" w:type="dxa"/>
            <w:vAlign w:val="bottom"/>
          </w:tcPr>
          <w:p w14:paraId="3F927136"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FB5DBA" w14:paraId="73E429C5" w14:textId="77777777" w:rsidTr="00AB1DC6">
        <w:trPr>
          <w:trHeight w:val="283"/>
        </w:trPr>
        <w:tc>
          <w:tcPr>
            <w:tcW w:w="5046" w:type="dxa"/>
            <w:gridSpan w:val="2"/>
            <w:shd w:val="clear" w:color="auto" w:fill="auto"/>
            <w:noWrap/>
            <w:vAlign w:val="bottom"/>
          </w:tcPr>
          <w:p w14:paraId="62131541"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2 October 2023 - Share Options (“SAYE 2020”)</w:t>
            </w:r>
          </w:p>
        </w:tc>
        <w:tc>
          <w:tcPr>
            <w:tcW w:w="1617" w:type="dxa"/>
            <w:vAlign w:val="bottom"/>
          </w:tcPr>
          <w:p w14:paraId="11234BA3"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12196AB5"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211,141 </w:t>
            </w:r>
          </w:p>
        </w:tc>
        <w:tc>
          <w:tcPr>
            <w:tcW w:w="1202" w:type="dxa"/>
            <w:vAlign w:val="bottom"/>
          </w:tcPr>
          <w:p w14:paraId="741F67F5"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FB5DBA" w14:paraId="795941D2" w14:textId="77777777" w:rsidTr="00AB1DC6">
        <w:trPr>
          <w:trHeight w:val="283"/>
        </w:trPr>
        <w:tc>
          <w:tcPr>
            <w:tcW w:w="5046" w:type="dxa"/>
            <w:gridSpan w:val="2"/>
            <w:shd w:val="clear" w:color="auto" w:fill="auto"/>
            <w:noWrap/>
            <w:vAlign w:val="bottom"/>
          </w:tcPr>
          <w:p w14:paraId="13236FDE"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9 October 2023 - Share Options (“SAYE 2020”)</w:t>
            </w:r>
          </w:p>
        </w:tc>
        <w:tc>
          <w:tcPr>
            <w:tcW w:w="1617" w:type="dxa"/>
            <w:vAlign w:val="bottom"/>
          </w:tcPr>
          <w:p w14:paraId="51875085"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4F28D2FC"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16,256 </w:t>
            </w:r>
          </w:p>
        </w:tc>
        <w:tc>
          <w:tcPr>
            <w:tcW w:w="1202" w:type="dxa"/>
            <w:vAlign w:val="bottom"/>
          </w:tcPr>
          <w:p w14:paraId="6C32F120"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FB5DBA" w14:paraId="25575F17" w14:textId="77777777" w:rsidTr="00AB1DC6">
        <w:trPr>
          <w:trHeight w:val="283"/>
        </w:trPr>
        <w:tc>
          <w:tcPr>
            <w:tcW w:w="5046" w:type="dxa"/>
            <w:gridSpan w:val="2"/>
            <w:shd w:val="clear" w:color="auto" w:fill="auto"/>
            <w:noWrap/>
            <w:vAlign w:val="bottom"/>
          </w:tcPr>
          <w:p w14:paraId="703F1663"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16 October 2023 - Share Options (“SAYE 2020”)</w:t>
            </w:r>
          </w:p>
        </w:tc>
        <w:tc>
          <w:tcPr>
            <w:tcW w:w="1617" w:type="dxa"/>
            <w:vAlign w:val="bottom"/>
          </w:tcPr>
          <w:p w14:paraId="3F4AD2F8"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348C4970"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5,789 </w:t>
            </w:r>
          </w:p>
        </w:tc>
        <w:tc>
          <w:tcPr>
            <w:tcW w:w="1202" w:type="dxa"/>
            <w:vAlign w:val="bottom"/>
          </w:tcPr>
          <w:p w14:paraId="04EA2342"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FB5DBA" w14:paraId="1C52CBA1" w14:textId="77777777" w:rsidTr="00AB1DC6">
        <w:trPr>
          <w:trHeight w:val="283"/>
        </w:trPr>
        <w:tc>
          <w:tcPr>
            <w:tcW w:w="5046" w:type="dxa"/>
            <w:gridSpan w:val="2"/>
            <w:shd w:val="clear" w:color="auto" w:fill="auto"/>
            <w:noWrap/>
            <w:vAlign w:val="bottom"/>
          </w:tcPr>
          <w:p w14:paraId="23E7AD1B"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23 October 2023 - Share Options (“SAYE 2020”)</w:t>
            </w:r>
          </w:p>
        </w:tc>
        <w:tc>
          <w:tcPr>
            <w:tcW w:w="1617" w:type="dxa"/>
            <w:vAlign w:val="bottom"/>
          </w:tcPr>
          <w:p w14:paraId="09E89DAF"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3BF5F0E1"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12,438 </w:t>
            </w:r>
          </w:p>
        </w:tc>
        <w:tc>
          <w:tcPr>
            <w:tcW w:w="1202" w:type="dxa"/>
            <w:vAlign w:val="bottom"/>
          </w:tcPr>
          <w:p w14:paraId="6526CB51"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FB5DBA" w14:paraId="0C51C3C8" w14:textId="77777777" w:rsidTr="00AB1DC6">
        <w:trPr>
          <w:trHeight w:val="283"/>
        </w:trPr>
        <w:tc>
          <w:tcPr>
            <w:tcW w:w="5046" w:type="dxa"/>
            <w:gridSpan w:val="2"/>
            <w:shd w:val="clear" w:color="auto" w:fill="auto"/>
            <w:noWrap/>
            <w:vAlign w:val="bottom"/>
          </w:tcPr>
          <w:p w14:paraId="2F5A93DD"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30 October 2023 - Share Options (“SAYE 2020”)</w:t>
            </w:r>
          </w:p>
        </w:tc>
        <w:tc>
          <w:tcPr>
            <w:tcW w:w="1617" w:type="dxa"/>
            <w:vAlign w:val="bottom"/>
          </w:tcPr>
          <w:p w14:paraId="40E75DDA"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07084280"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10,129 </w:t>
            </w:r>
          </w:p>
        </w:tc>
        <w:tc>
          <w:tcPr>
            <w:tcW w:w="1202" w:type="dxa"/>
            <w:vAlign w:val="bottom"/>
          </w:tcPr>
          <w:p w14:paraId="62EBD4DB"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FB5DBA" w14:paraId="4BC554FC" w14:textId="77777777" w:rsidTr="00AB1DC6">
        <w:trPr>
          <w:trHeight w:val="283"/>
        </w:trPr>
        <w:tc>
          <w:tcPr>
            <w:tcW w:w="5046" w:type="dxa"/>
            <w:gridSpan w:val="2"/>
            <w:shd w:val="clear" w:color="auto" w:fill="auto"/>
            <w:noWrap/>
            <w:vAlign w:val="bottom"/>
          </w:tcPr>
          <w:p w14:paraId="37D08A8D"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13 November 2023 - Share Options (“SAYE 2020”)</w:t>
            </w:r>
          </w:p>
        </w:tc>
        <w:tc>
          <w:tcPr>
            <w:tcW w:w="1617" w:type="dxa"/>
            <w:vAlign w:val="bottom"/>
          </w:tcPr>
          <w:p w14:paraId="56601438"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3EF48FBF"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10,332 </w:t>
            </w:r>
          </w:p>
        </w:tc>
        <w:tc>
          <w:tcPr>
            <w:tcW w:w="1202" w:type="dxa"/>
            <w:vAlign w:val="bottom"/>
          </w:tcPr>
          <w:p w14:paraId="473B5F57"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FB5DBA" w14:paraId="28C09F58" w14:textId="77777777" w:rsidTr="00AB1DC6">
        <w:trPr>
          <w:trHeight w:val="283"/>
        </w:trPr>
        <w:tc>
          <w:tcPr>
            <w:tcW w:w="5046" w:type="dxa"/>
            <w:gridSpan w:val="2"/>
            <w:shd w:val="clear" w:color="auto" w:fill="auto"/>
            <w:noWrap/>
            <w:vAlign w:val="bottom"/>
          </w:tcPr>
          <w:p w14:paraId="6C5A3337"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27 November 2023 - Share Options (“SAYE 2020”)</w:t>
            </w:r>
          </w:p>
        </w:tc>
        <w:tc>
          <w:tcPr>
            <w:tcW w:w="1617" w:type="dxa"/>
            <w:vAlign w:val="bottom"/>
          </w:tcPr>
          <w:p w14:paraId="5B6BC5DB"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50924C95"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26,878 </w:t>
            </w:r>
          </w:p>
        </w:tc>
        <w:tc>
          <w:tcPr>
            <w:tcW w:w="1202" w:type="dxa"/>
            <w:vAlign w:val="bottom"/>
          </w:tcPr>
          <w:p w14:paraId="1790CACC"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FB5DBA" w14:paraId="7685BF59" w14:textId="77777777" w:rsidTr="00AB1DC6">
        <w:trPr>
          <w:trHeight w:val="283"/>
        </w:trPr>
        <w:tc>
          <w:tcPr>
            <w:tcW w:w="5046" w:type="dxa"/>
            <w:gridSpan w:val="2"/>
            <w:shd w:val="clear" w:color="auto" w:fill="auto"/>
            <w:noWrap/>
            <w:vAlign w:val="bottom"/>
          </w:tcPr>
          <w:p w14:paraId="00ADC565"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14 March 2024 - Share Options (“SAYE 2020”)</w:t>
            </w:r>
          </w:p>
        </w:tc>
        <w:tc>
          <w:tcPr>
            <w:tcW w:w="1617" w:type="dxa"/>
            <w:vAlign w:val="bottom"/>
          </w:tcPr>
          <w:p w14:paraId="257A5FAD"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vAlign w:val="bottom"/>
          </w:tcPr>
          <w:p w14:paraId="62B53B3A"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22,693 </w:t>
            </w:r>
          </w:p>
        </w:tc>
        <w:tc>
          <w:tcPr>
            <w:tcW w:w="1202" w:type="dxa"/>
            <w:vAlign w:val="bottom"/>
          </w:tcPr>
          <w:p w14:paraId="5DADFB12"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4D7811" w14:paraId="4A2BD40D" w14:textId="77777777" w:rsidTr="00AB1DC6">
        <w:trPr>
          <w:trHeight w:val="283"/>
        </w:trPr>
        <w:tc>
          <w:tcPr>
            <w:tcW w:w="5046" w:type="dxa"/>
            <w:gridSpan w:val="2"/>
            <w:tcBorders>
              <w:bottom w:val="single" w:sz="4" w:space="0" w:color="auto"/>
            </w:tcBorders>
            <w:shd w:val="clear" w:color="auto" w:fill="auto"/>
            <w:noWrap/>
            <w:vAlign w:val="bottom"/>
          </w:tcPr>
          <w:p w14:paraId="040AA30F" w14:textId="77777777" w:rsidR="008A1149" w:rsidRPr="00385109" w:rsidRDefault="008A1149" w:rsidP="00AB1DC6">
            <w:pPr>
              <w:spacing w:after="0" w:line="240" w:lineRule="auto"/>
              <w:rPr>
                <w:rFonts w:ascii="Arial" w:eastAsia="Times New Roman" w:hAnsi="Arial" w:cs="Arial"/>
                <w:color w:val="000000"/>
                <w:sz w:val="20"/>
                <w:szCs w:val="20"/>
                <w:lang w:eastAsia="en-GB"/>
              </w:rPr>
            </w:pPr>
            <w:r w:rsidRPr="00385109">
              <w:rPr>
                <w:rFonts w:ascii="Arial" w:eastAsia="Times New Roman" w:hAnsi="Arial" w:cs="Arial"/>
                <w:color w:val="000000"/>
                <w:sz w:val="20"/>
                <w:szCs w:val="20"/>
                <w:lang w:eastAsia="en-GB"/>
              </w:rPr>
              <w:t>18 March 2023 - Share Options (“SAYE 2020”)</w:t>
            </w:r>
          </w:p>
        </w:tc>
        <w:tc>
          <w:tcPr>
            <w:tcW w:w="1617" w:type="dxa"/>
            <w:tcBorders>
              <w:bottom w:val="single" w:sz="4" w:space="0" w:color="auto"/>
            </w:tcBorders>
            <w:vAlign w:val="bottom"/>
          </w:tcPr>
          <w:p w14:paraId="271E3551" w14:textId="77777777" w:rsidR="008A1149" w:rsidRPr="00C1761C" w:rsidRDefault="008A1149" w:rsidP="00AB1DC6">
            <w:pPr>
              <w:spacing w:after="0" w:line="240" w:lineRule="auto"/>
              <w:jc w:val="right"/>
              <w:rPr>
                <w:rFonts w:ascii="Arial" w:eastAsia="Times New Roman" w:hAnsi="Arial" w:cs="Arial"/>
                <w:sz w:val="20"/>
                <w:szCs w:val="20"/>
                <w:lang w:eastAsia="en-GB"/>
              </w:rPr>
            </w:pPr>
          </w:p>
        </w:tc>
        <w:tc>
          <w:tcPr>
            <w:tcW w:w="1858" w:type="dxa"/>
            <w:tcBorders>
              <w:bottom w:val="single" w:sz="4" w:space="0" w:color="auto"/>
            </w:tcBorders>
            <w:vAlign w:val="bottom"/>
          </w:tcPr>
          <w:p w14:paraId="4CF0271D"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 xml:space="preserve">10,171 </w:t>
            </w:r>
          </w:p>
        </w:tc>
        <w:tc>
          <w:tcPr>
            <w:tcW w:w="1202" w:type="dxa"/>
            <w:tcBorders>
              <w:bottom w:val="single" w:sz="4" w:space="0" w:color="auto"/>
            </w:tcBorders>
            <w:vAlign w:val="bottom"/>
          </w:tcPr>
          <w:p w14:paraId="34195056" w14:textId="77777777" w:rsidR="008A1149" w:rsidRPr="00C1761C" w:rsidRDefault="008A1149" w:rsidP="00AB1DC6">
            <w:pPr>
              <w:spacing w:after="0" w:line="240" w:lineRule="auto"/>
              <w:jc w:val="right"/>
              <w:rPr>
                <w:rFonts w:ascii="Arial" w:hAnsi="Arial" w:cs="Arial"/>
                <w:sz w:val="20"/>
                <w:szCs w:val="20"/>
              </w:rPr>
            </w:pPr>
            <w:r w:rsidRPr="00C1761C">
              <w:rPr>
                <w:rFonts w:ascii="Arial" w:hAnsi="Arial" w:cs="Arial"/>
                <w:sz w:val="20"/>
                <w:szCs w:val="20"/>
              </w:rPr>
              <w:t>460p</w:t>
            </w:r>
          </w:p>
        </w:tc>
      </w:tr>
      <w:tr w:rsidR="008A1149" w:rsidRPr="004D7811" w14:paraId="38F08BBF" w14:textId="77777777" w:rsidTr="00AB1DC6">
        <w:trPr>
          <w:trHeight w:val="283"/>
        </w:trPr>
        <w:tc>
          <w:tcPr>
            <w:tcW w:w="5046" w:type="dxa"/>
            <w:gridSpan w:val="2"/>
            <w:tcBorders>
              <w:top w:val="single" w:sz="4" w:space="0" w:color="auto"/>
              <w:bottom w:val="double" w:sz="4" w:space="0" w:color="auto"/>
            </w:tcBorders>
            <w:shd w:val="clear" w:color="auto" w:fill="auto"/>
            <w:noWrap/>
            <w:vAlign w:val="bottom"/>
          </w:tcPr>
          <w:p w14:paraId="0E72C447" w14:textId="77777777" w:rsidR="008A1149" w:rsidRPr="00BB1BCC" w:rsidRDefault="008A1149" w:rsidP="00AB1DC6">
            <w:pPr>
              <w:spacing w:after="0" w:line="240" w:lineRule="auto"/>
              <w:rPr>
                <w:rFonts w:ascii="Arial" w:eastAsia="Times New Roman" w:hAnsi="Arial" w:cs="Arial"/>
                <w:b/>
                <w:bCs/>
                <w:color w:val="000000"/>
                <w:sz w:val="20"/>
                <w:szCs w:val="20"/>
                <w:lang w:eastAsia="en-GB"/>
              </w:rPr>
            </w:pPr>
            <w:r w:rsidRPr="00BB1BCC">
              <w:rPr>
                <w:rFonts w:ascii="Arial" w:eastAsia="Times New Roman" w:hAnsi="Arial" w:cs="Arial"/>
                <w:b/>
                <w:bCs/>
                <w:color w:val="000000"/>
                <w:sz w:val="20"/>
                <w:szCs w:val="20"/>
                <w:lang w:eastAsia="en-GB"/>
              </w:rPr>
              <w:t>31 March 2024</w:t>
            </w:r>
          </w:p>
        </w:tc>
        <w:tc>
          <w:tcPr>
            <w:tcW w:w="1617" w:type="dxa"/>
            <w:tcBorders>
              <w:top w:val="single" w:sz="4" w:space="0" w:color="auto"/>
              <w:bottom w:val="double" w:sz="4" w:space="0" w:color="auto"/>
            </w:tcBorders>
            <w:vAlign w:val="bottom"/>
          </w:tcPr>
          <w:p w14:paraId="63E08B31" w14:textId="77777777" w:rsidR="008A1149" w:rsidRPr="006D7846" w:rsidRDefault="008A1149" w:rsidP="00AB1DC6">
            <w:pPr>
              <w:spacing w:after="0" w:line="240" w:lineRule="auto"/>
              <w:jc w:val="right"/>
              <w:rPr>
                <w:rFonts w:ascii="Arial" w:eastAsia="Times New Roman" w:hAnsi="Arial" w:cs="Arial"/>
                <w:b/>
                <w:bCs/>
                <w:sz w:val="20"/>
                <w:szCs w:val="20"/>
                <w:lang w:eastAsia="en-GB"/>
              </w:rPr>
            </w:pPr>
            <w:r w:rsidRPr="006D7846">
              <w:rPr>
                <w:rFonts w:ascii="Arial" w:eastAsia="Times New Roman" w:hAnsi="Arial" w:cs="Arial"/>
                <w:b/>
                <w:bCs/>
                <w:sz w:val="20"/>
                <w:szCs w:val="20"/>
                <w:lang w:eastAsia="en-GB"/>
              </w:rPr>
              <w:t>48.4</w:t>
            </w:r>
          </w:p>
        </w:tc>
        <w:tc>
          <w:tcPr>
            <w:tcW w:w="1858" w:type="dxa"/>
            <w:tcBorders>
              <w:top w:val="single" w:sz="4" w:space="0" w:color="auto"/>
              <w:bottom w:val="double" w:sz="4" w:space="0" w:color="auto"/>
            </w:tcBorders>
            <w:vAlign w:val="bottom"/>
          </w:tcPr>
          <w:p w14:paraId="3848C7DE" w14:textId="77777777" w:rsidR="008A1149" w:rsidRPr="006D7846" w:rsidRDefault="008A1149" w:rsidP="00AB1DC6">
            <w:pPr>
              <w:spacing w:after="0" w:line="240" w:lineRule="auto"/>
              <w:jc w:val="right"/>
              <w:rPr>
                <w:rFonts w:ascii="Arial" w:hAnsi="Arial" w:cs="Arial"/>
                <w:b/>
                <w:bCs/>
                <w:sz w:val="20"/>
                <w:szCs w:val="20"/>
              </w:rPr>
            </w:pPr>
            <w:r w:rsidRPr="006D7846">
              <w:rPr>
                <w:rFonts w:ascii="Arial" w:hAnsi="Arial" w:cs="Arial"/>
                <w:b/>
                <w:bCs/>
                <w:sz w:val="20"/>
                <w:szCs w:val="20"/>
              </w:rPr>
              <w:t>96,807,</w:t>
            </w:r>
            <w:r>
              <w:rPr>
                <w:rFonts w:ascii="Arial" w:hAnsi="Arial" w:cs="Arial"/>
                <w:b/>
                <w:bCs/>
                <w:sz w:val="20"/>
                <w:szCs w:val="20"/>
              </w:rPr>
              <w:t>718</w:t>
            </w:r>
          </w:p>
        </w:tc>
        <w:tc>
          <w:tcPr>
            <w:tcW w:w="1202" w:type="dxa"/>
            <w:tcBorders>
              <w:top w:val="single" w:sz="4" w:space="0" w:color="auto"/>
              <w:bottom w:val="double" w:sz="4" w:space="0" w:color="auto"/>
            </w:tcBorders>
            <w:vAlign w:val="bottom"/>
          </w:tcPr>
          <w:p w14:paraId="5B286D28" w14:textId="77777777" w:rsidR="008A1149" w:rsidRPr="006D7846" w:rsidRDefault="008A1149" w:rsidP="00AB1DC6">
            <w:pPr>
              <w:spacing w:after="0" w:line="240" w:lineRule="auto"/>
              <w:jc w:val="right"/>
              <w:rPr>
                <w:rFonts w:ascii="Arial" w:hAnsi="Arial" w:cs="Arial"/>
                <w:b/>
                <w:bCs/>
                <w:sz w:val="20"/>
                <w:szCs w:val="20"/>
              </w:rPr>
            </w:pPr>
          </w:p>
        </w:tc>
      </w:tr>
    </w:tbl>
    <w:p w14:paraId="7F2DEDA8" w14:textId="77777777" w:rsidR="008A1149" w:rsidRDefault="008A1149" w:rsidP="008A1149">
      <w:pPr>
        <w:spacing w:after="0"/>
        <w:rPr>
          <w:rFonts w:ascii="Arial" w:hAnsi="Arial" w:cs="Arial"/>
          <w:sz w:val="20"/>
          <w:szCs w:val="20"/>
          <w:highlight w:val="yellow"/>
        </w:rPr>
      </w:pPr>
    </w:p>
    <w:p w14:paraId="20034CFB" w14:textId="6CEA682E" w:rsidR="008A1149" w:rsidRDefault="008A1149" w:rsidP="008A1149">
      <w:pPr>
        <w:spacing w:after="0"/>
        <w:rPr>
          <w:rFonts w:ascii="Arial" w:hAnsi="Arial" w:cs="Arial"/>
          <w:b/>
          <w:bCs/>
          <w:sz w:val="20"/>
          <w:szCs w:val="20"/>
        </w:rPr>
      </w:pPr>
      <w:r>
        <w:rPr>
          <w:rFonts w:ascii="Arial" w:hAnsi="Arial" w:cs="Arial"/>
          <w:b/>
          <w:bCs/>
          <w:sz w:val="20"/>
          <w:szCs w:val="20"/>
        </w:rPr>
        <w:t>12</w:t>
      </w:r>
      <w:r w:rsidRPr="00F8711F">
        <w:rPr>
          <w:rFonts w:ascii="Arial" w:hAnsi="Arial" w:cs="Arial"/>
          <w:b/>
          <w:bCs/>
          <w:sz w:val="20"/>
          <w:szCs w:val="20"/>
        </w:rPr>
        <w:t>. Share premium</w:t>
      </w:r>
    </w:p>
    <w:p w14:paraId="39ACF1E8" w14:textId="77777777" w:rsidR="008A1149" w:rsidRDefault="008A1149" w:rsidP="008A1149">
      <w:pPr>
        <w:spacing w:after="0"/>
        <w:rPr>
          <w:rFonts w:ascii="Arial" w:hAnsi="Arial" w:cs="Arial"/>
          <w:b/>
          <w:bCs/>
          <w:sz w:val="20"/>
          <w:szCs w:val="20"/>
        </w:rPr>
      </w:pPr>
    </w:p>
    <w:tbl>
      <w:tblPr>
        <w:tblW w:w="9752" w:type="dxa"/>
        <w:tblLook w:val="04A0" w:firstRow="1" w:lastRow="0" w:firstColumn="1" w:lastColumn="0" w:noHBand="0" w:noVBand="1"/>
      </w:tblPr>
      <w:tblGrid>
        <w:gridCol w:w="6690"/>
        <w:gridCol w:w="1531"/>
        <w:gridCol w:w="1531"/>
      </w:tblGrid>
      <w:tr w:rsidR="008A1149" w:rsidRPr="004D7811" w14:paraId="5B546780" w14:textId="77777777" w:rsidTr="00AB1DC6">
        <w:trPr>
          <w:trHeight w:val="283"/>
        </w:trPr>
        <w:tc>
          <w:tcPr>
            <w:tcW w:w="6690" w:type="dxa"/>
            <w:shd w:val="clear" w:color="auto" w:fill="auto"/>
            <w:noWrap/>
            <w:vAlign w:val="bottom"/>
          </w:tcPr>
          <w:p w14:paraId="3AC91804" w14:textId="77777777" w:rsidR="008A1149" w:rsidRPr="00990C98" w:rsidRDefault="008A1149" w:rsidP="00AB1DC6">
            <w:pPr>
              <w:spacing w:after="0" w:line="240" w:lineRule="auto"/>
              <w:rPr>
                <w:rFonts w:ascii="Arial" w:eastAsia="Times New Roman" w:hAnsi="Arial" w:cs="Arial"/>
                <w:color w:val="000000"/>
                <w:sz w:val="20"/>
                <w:szCs w:val="20"/>
                <w:lang w:eastAsia="en-GB"/>
              </w:rPr>
            </w:pPr>
          </w:p>
        </w:tc>
        <w:tc>
          <w:tcPr>
            <w:tcW w:w="1531" w:type="dxa"/>
            <w:vAlign w:val="bottom"/>
          </w:tcPr>
          <w:p w14:paraId="4FAB16E9" w14:textId="77777777" w:rsidR="008A1149" w:rsidRPr="00BB1BCC" w:rsidRDefault="008A1149" w:rsidP="00AB1DC6">
            <w:pPr>
              <w:spacing w:after="0" w:line="240" w:lineRule="auto"/>
              <w:jc w:val="right"/>
              <w:rPr>
                <w:rFonts w:ascii="Arial" w:hAnsi="Arial" w:cs="Arial"/>
                <w:b/>
                <w:bCs/>
                <w:color w:val="000000"/>
                <w:sz w:val="20"/>
                <w:szCs w:val="20"/>
              </w:rPr>
            </w:pPr>
            <w:r w:rsidRPr="00BB1BCC">
              <w:rPr>
                <w:rFonts w:ascii="Arial" w:hAnsi="Arial" w:cs="Arial"/>
                <w:b/>
                <w:bCs/>
                <w:color w:val="000000"/>
                <w:sz w:val="20"/>
                <w:szCs w:val="20"/>
              </w:rPr>
              <w:t>2024</w:t>
            </w:r>
          </w:p>
        </w:tc>
        <w:tc>
          <w:tcPr>
            <w:tcW w:w="1531" w:type="dxa"/>
            <w:vAlign w:val="bottom"/>
          </w:tcPr>
          <w:p w14:paraId="719AD118" w14:textId="77777777" w:rsidR="008A1149" w:rsidRPr="00BB1BCC" w:rsidRDefault="008A1149" w:rsidP="00AB1DC6">
            <w:pPr>
              <w:spacing w:after="0" w:line="240" w:lineRule="auto"/>
              <w:jc w:val="right"/>
              <w:rPr>
                <w:rFonts w:ascii="Arial" w:hAnsi="Arial" w:cs="Arial"/>
                <w:b/>
                <w:bCs/>
                <w:color w:val="000000"/>
                <w:sz w:val="20"/>
                <w:szCs w:val="20"/>
              </w:rPr>
            </w:pPr>
            <w:r w:rsidRPr="00BB1BCC">
              <w:rPr>
                <w:rFonts w:ascii="Arial" w:hAnsi="Arial" w:cs="Arial"/>
                <w:b/>
                <w:bCs/>
                <w:color w:val="000000"/>
                <w:sz w:val="20"/>
                <w:szCs w:val="20"/>
              </w:rPr>
              <w:t>2023</w:t>
            </w:r>
          </w:p>
        </w:tc>
      </w:tr>
      <w:tr w:rsidR="008A1149" w:rsidRPr="004D7811" w14:paraId="05EE58C4" w14:textId="77777777" w:rsidTr="00AB1DC6">
        <w:trPr>
          <w:trHeight w:val="283"/>
        </w:trPr>
        <w:tc>
          <w:tcPr>
            <w:tcW w:w="6690" w:type="dxa"/>
            <w:tcBorders>
              <w:bottom w:val="single" w:sz="4" w:space="0" w:color="auto"/>
            </w:tcBorders>
            <w:shd w:val="clear" w:color="auto" w:fill="auto"/>
            <w:noWrap/>
            <w:vAlign w:val="bottom"/>
          </w:tcPr>
          <w:p w14:paraId="501374FD" w14:textId="77777777" w:rsidR="008A1149" w:rsidRPr="00990C98" w:rsidRDefault="008A1149" w:rsidP="00AB1DC6">
            <w:pPr>
              <w:spacing w:after="0" w:line="240" w:lineRule="auto"/>
              <w:rPr>
                <w:rFonts w:ascii="Arial" w:eastAsia="Times New Roman" w:hAnsi="Arial" w:cs="Arial"/>
                <w:color w:val="000000"/>
                <w:sz w:val="20"/>
                <w:szCs w:val="20"/>
                <w:lang w:eastAsia="en-GB"/>
              </w:rPr>
            </w:pPr>
          </w:p>
        </w:tc>
        <w:tc>
          <w:tcPr>
            <w:tcW w:w="1531" w:type="dxa"/>
            <w:tcBorders>
              <w:bottom w:val="single" w:sz="4" w:space="0" w:color="auto"/>
            </w:tcBorders>
            <w:vAlign w:val="bottom"/>
          </w:tcPr>
          <w:p w14:paraId="157BDF6F" w14:textId="77777777" w:rsidR="008A1149" w:rsidRPr="00BB1BCC" w:rsidRDefault="008A1149" w:rsidP="00AB1DC6">
            <w:pPr>
              <w:spacing w:after="0" w:line="240" w:lineRule="auto"/>
              <w:jc w:val="right"/>
              <w:rPr>
                <w:rFonts w:ascii="Arial" w:eastAsia="Times New Roman" w:hAnsi="Arial" w:cs="Arial"/>
                <w:b/>
                <w:bCs/>
                <w:color w:val="000000"/>
                <w:sz w:val="20"/>
                <w:szCs w:val="20"/>
                <w:lang w:eastAsia="en-GB"/>
              </w:rPr>
            </w:pPr>
            <w:r w:rsidRPr="00BB1BCC">
              <w:rPr>
                <w:rFonts w:ascii="Arial" w:eastAsia="Times New Roman" w:hAnsi="Arial" w:cs="Arial"/>
                <w:b/>
                <w:bCs/>
                <w:color w:val="000000"/>
                <w:sz w:val="20"/>
                <w:szCs w:val="20"/>
                <w:lang w:eastAsia="en-GB"/>
              </w:rPr>
              <w:t>£’m</w:t>
            </w:r>
          </w:p>
        </w:tc>
        <w:tc>
          <w:tcPr>
            <w:tcW w:w="1531" w:type="dxa"/>
            <w:tcBorders>
              <w:bottom w:val="single" w:sz="4" w:space="0" w:color="auto"/>
            </w:tcBorders>
            <w:vAlign w:val="bottom"/>
          </w:tcPr>
          <w:p w14:paraId="4C3770C7" w14:textId="77777777" w:rsidR="008A1149" w:rsidRPr="00BB1BCC" w:rsidRDefault="008A1149" w:rsidP="00AB1DC6">
            <w:pPr>
              <w:spacing w:after="0" w:line="240" w:lineRule="auto"/>
              <w:jc w:val="right"/>
              <w:rPr>
                <w:rFonts w:ascii="Arial" w:hAnsi="Arial" w:cs="Arial"/>
                <w:b/>
                <w:bCs/>
                <w:color w:val="000000"/>
                <w:sz w:val="20"/>
                <w:szCs w:val="20"/>
              </w:rPr>
            </w:pPr>
            <w:r w:rsidRPr="00BB1BCC">
              <w:rPr>
                <w:rFonts w:ascii="Arial" w:hAnsi="Arial" w:cs="Arial"/>
                <w:b/>
                <w:bCs/>
                <w:color w:val="000000"/>
                <w:sz w:val="20"/>
                <w:szCs w:val="20"/>
              </w:rPr>
              <w:t>£’m</w:t>
            </w:r>
          </w:p>
        </w:tc>
      </w:tr>
      <w:tr w:rsidR="008A1149" w:rsidRPr="004D7811" w14:paraId="79F958EC" w14:textId="77777777" w:rsidTr="00AB1DC6">
        <w:trPr>
          <w:trHeight w:val="283"/>
        </w:trPr>
        <w:tc>
          <w:tcPr>
            <w:tcW w:w="6690" w:type="dxa"/>
            <w:tcBorders>
              <w:top w:val="single" w:sz="4" w:space="0" w:color="auto"/>
            </w:tcBorders>
            <w:shd w:val="clear" w:color="auto" w:fill="auto"/>
            <w:noWrap/>
            <w:vAlign w:val="bottom"/>
          </w:tcPr>
          <w:p w14:paraId="23CFFBD8" w14:textId="77777777" w:rsidR="008A1149" w:rsidRPr="000A71A0" w:rsidRDefault="008A1149" w:rsidP="00AB1DC6">
            <w:pPr>
              <w:spacing w:after="0" w:line="240" w:lineRule="auto"/>
              <w:rPr>
                <w:rFonts w:ascii="Arial" w:eastAsia="Times New Roman" w:hAnsi="Arial" w:cs="Arial"/>
                <w:color w:val="000000"/>
                <w:sz w:val="20"/>
                <w:szCs w:val="20"/>
                <w:lang w:eastAsia="en-GB"/>
              </w:rPr>
            </w:pPr>
            <w:r w:rsidRPr="000A71A0">
              <w:rPr>
                <w:rFonts w:ascii="Arial" w:eastAsia="Times New Roman" w:hAnsi="Arial" w:cs="Arial"/>
                <w:color w:val="000000"/>
                <w:sz w:val="20"/>
                <w:szCs w:val="20"/>
                <w:lang w:eastAsia="en-GB"/>
              </w:rPr>
              <w:t>1 April</w:t>
            </w:r>
          </w:p>
        </w:tc>
        <w:tc>
          <w:tcPr>
            <w:tcW w:w="1531" w:type="dxa"/>
            <w:tcBorders>
              <w:top w:val="single" w:sz="4" w:space="0" w:color="auto"/>
            </w:tcBorders>
            <w:vAlign w:val="bottom"/>
          </w:tcPr>
          <w:p w14:paraId="7CFD607C" w14:textId="77777777" w:rsidR="008A1149" w:rsidRPr="00990C98"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384.8</w:t>
            </w:r>
          </w:p>
        </w:tc>
        <w:tc>
          <w:tcPr>
            <w:tcW w:w="1531" w:type="dxa"/>
            <w:tcBorders>
              <w:top w:val="single" w:sz="4" w:space="0" w:color="auto"/>
            </w:tcBorders>
            <w:vAlign w:val="bottom"/>
          </w:tcPr>
          <w:p w14:paraId="1F6B7F24" w14:textId="77777777" w:rsidR="008A1149" w:rsidRPr="001F71DB" w:rsidRDefault="008A1149" w:rsidP="00AB1DC6">
            <w:pPr>
              <w:spacing w:after="0" w:line="240" w:lineRule="auto"/>
              <w:jc w:val="right"/>
              <w:rPr>
                <w:rFonts w:ascii="Arial" w:hAnsi="Arial" w:cs="Arial"/>
                <w:sz w:val="20"/>
                <w:szCs w:val="20"/>
              </w:rPr>
            </w:pPr>
            <w:r w:rsidRPr="001F71DB">
              <w:rPr>
                <w:rFonts w:ascii="Arial" w:hAnsi="Arial" w:cs="Arial"/>
                <w:sz w:val="20"/>
                <w:szCs w:val="20"/>
              </w:rPr>
              <w:t>384.8</w:t>
            </w:r>
          </w:p>
        </w:tc>
      </w:tr>
      <w:tr w:rsidR="008A1149" w:rsidRPr="004D7811" w14:paraId="075D8BEE" w14:textId="77777777" w:rsidTr="00AB1DC6">
        <w:trPr>
          <w:trHeight w:val="283"/>
        </w:trPr>
        <w:tc>
          <w:tcPr>
            <w:tcW w:w="6690" w:type="dxa"/>
            <w:shd w:val="clear" w:color="auto" w:fill="auto"/>
            <w:noWrap/>
            <w:vAlign w:val="bottom"/>
          </w:tcPr>
          <w:p w14:paraId="6DD5558F" w14:textId="77777777" w:rsidR="008A1149" w:rsidRPr="00990C98" w:rsidRDefault="008A1149" w:rsidP="00AB1D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Premium on shares issued during the year</w:t>
            </w:r>
          </w:p>
        </w:tc>
        <w:tc>
          <w:tcPr>
            <w:tcW w:w="1531" w:type="dxa"/>
            <w:vAlign w:val="bottom"/>
          </w:tcPr>
          <w:p w14:paraId="2C404AA8" w14:textId="77777777" w:rsidR="008A1149" w:rsidRPr="00990C98"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1.4</w:t>
            </w:r>
          </w:p>
        </w:tc>
        <w:tc>
          <w:tcPr>
            <w:tcW w:w="1531" w:type="dxa"/>
            <w:vAlign w:val="bottom"/>
          </w:tcPr>
          <w:p w14:paraId="397CE4AD" w14:textId="77777777" w:rsidR="008A1149" w:rsidRPr="001F71DB" w:rsidRDefault="008A1149" w:rsidP="00AB1DC6">
            <w:pPr>
              <w:spacing w:after="0" w:line="240" w:lineRule="auto"/>
              <w:jc w:val="right"/>
              <w:rPr>
                <w:rFonts w:ascii="Arial" w:hAnsi="Arial" w:cs="Arial"/>
                <w:sz w:val="20"/>
                <w:szCs w:val="20"/>
              </w:rPr>
            </w:pPr>
            <w:r w:rsidRPr="001F71DB">
              <w:rPr>
                <w:rFonts w:ascii="Arial" w:hAnsi="Arial" w:cs="Arial"/>
                <w:sz w:val="20"/>
                <w:szCs w:val="20"/>
              </w:rPr>
              <w:t>-</w:t>
            </w:r>
          </w:p>
        </w:tc>
      </w:tr>
      <w:tr w:rsidR="008A1149" w:rsidRPr="004D7811" w14:paraId="6136ACB1" w14:textId="77777777" w:rsidTr="00AB1DC6">
        <w:trPr>
          <w:trHeight w:val="283"/>
        </w:trPr>
        <w:tc>
          <w:tcPr>
            <w:tcW w:w="6690" w:type="dxa"/>
            <w:tcBorders>
              <w:bottom w:val="single" w:sz="4" w:space="0" w:color="auto"/>
            </w:tcBorders>
            <w:shd w:val="clear" w:color="auto" w:fill="auto"/>
            <w:noWrap/>
            <w:vAlign w:val="bottom"/>
          </w:tcPr>
          <w:p w14:paraId="2ACDDD17" w14:textId="77777777" w:rsidR="008A1149" w:rsidRPr="00990C98" w:rsidRDefault="008A1149" w:rsidP="00AB1D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Cancellation of share premium</w:t>
            </w:r>
          </w:p>
        </w:tc>
        <w:tc>
          <w:tcPr>
            <w:tcW w:w="1531" w:type="dxa"/>
            <w:tcBorders>
              <w:bottom w:val="single" w:sz="4" w:space="0" w:color="auto"/>
            </w:tcBorders>
            <w:vAlign w:val="bottom"/>
          </w:tcPr>
          <w:p w14:paraId="36A7749A" w14:textId="77777777" w:rsidR="008A1149" w:rsidRPr="00990C98"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(384.9)</w:t>
            </w:r>
          </w:p>
        </w:tc>
        <w:tc>
          <w:tcPr>
            <w:tcW w:w="1531" w:type="dxa"/>
            <w:tcBorders>
              <w:bottom w:val="single" w:sz="4" w:space="0" w:color="auto"/>
            </w:tcBorders>
            <w:vAlign w:val="bottom"/>
          </w:tcPr>
          <w:p w14:paraId="51310918" w14:textId="77777777" w:rsidR="008A1149" w:rsidRPr="001F71DB" w:rsidRDefault="008A1149" w:rsidP="00AB1DC6">
            <w:pPr>
              <w:spacing w:after="0" w:line="240" w:lineRule="auto"/>
              <w:jc w:val="right"/>
              <w:rPr>
                <w:rFonts w:ascii="Arial" w:hAnsi="Arial" w:cs="Arial"/>
                <w:sz w:val="20"/>
                <w:szCs w:val="20"/>
              </w:rPr>
            </w:pPr>
            <w:r w:rsidRPr="001F71DB">
              <w:rPr>
                <w:rFonts w:ascii="Arial" w:hAnsi="Arial" w:cs="Arial"/>
                <w:sz w:val="20"/>
                <w:szCs w:val="20"/>
              </w:rPr>
              <w:t>-</w:t>
            </w:r>
          </w:p>
        </w:tc>
      </w:tr>
      <w:tr w:rsidR="008A1149" w:rsidRPr="004D7811" w14:paraId="6220B6F0" w14:textId="77777777" w:rsidTr="00AB1DC6">
        <w:trPr>
          <w:trHeight w:val="283"/>
        </w:trPr>
        <w:tc>
          <w:tcPr>
            <w:tcW w:w="6690" w:type="dxa"/>
            <w:tcBorders>
              <w:top w:val="single" w:sz="4" w:space="0" w:color="auto"/>
              <w:bottom w:val="double" w:sz="4" w:space="0" w:color="auto"/>
            </w:tcBorders>
            <w:shd w:val="clear" w:color="auto" w:fill="auto"/>
            <w:noWrap/>
            <w:vAlign w:val="bottom"/>
          </w:tcPr>
          <w:p w14:paraId="098BED61" w14:textId="77777777" w:rsidR="008A1149" w:rsidRPr="00BB1BCC" w:rsidRDefault="008A1149" w:rsidP="00AB1DC6">
            <w:pPr>
              <w:spacing w:after="0" w:line="240" w:lineRule="auto"/>
              <w:rPr>
                <w:rFonts w:ascii="Arial" w:eastAsia="Times New Roman" w:hAnsi="Arial" w:cs="Arial"/>
                <w:b/>
                <w:bCs/>
                <w:color w:val="000000"/>
                <w:sz w:val="20"/>
                <w:szCs w:val="20"/>
                <w:lang w:eastAsia="en-GB"/>
              </w:rPr>
            </w:pPr>
            <w:r w:rsidRPr="00BB1BCC">
              <w:rPr>
                <w:rFonts w:ascii="Arial" w:eastAsia="Times New Roman" w:hAnsi="Arial" w:cs="Arial"/>
                <w:b/>
                <w:bCs/>
                <w:color w:val="000000"/>
                <w:sz w:val="20"/>
                <w:szCs w:val="20"/>
                <w:lang w:eastAsia="en-GB"/>
              </w:rPr>
              <w:t>31 March</w:t>
            </w:r>
          </w:p>
        </w:tc>
        <w:tc>
          <w:tcPr>
            <w:tcW w:w="1531" w:type="dxa"/>
            <w:tcBorders>
              <w:top w:val="single" w:sz="4" w:space="0" w:color="auto"/>
              <w:bottom w:val="double" w:sz="4" w:space="0" w:color="auto"/>
            </w:tcBorders>
            <w:vAlign w:val="bottom"/>
          </w:tcPr>
          <w:p w14:paraId="581E4501" w14:textId="77777777" w:rsidR="008A1149" w:rsidRPr="00990C98"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1.3</w:t>
            </w:r>
          </w:p>
        </w:tc>
        <w:tc>
          <w:tcPr>
            <w:tcW w:w="1531" w:type="dxa"/>
            <w:tcBorders>
              <w:top w:val="single" w:sz="4" w:space="0" w:color="auto"/>
              <w:bottom w:val="double" w:sz="4" w:space="0" w:color="auto"/>
            </w:tcBorders>
            <w:vAlign w:val="bottom"/>
          </w:tcPr>
          <w:p w14:paraId="1C4A1BFF" w14:textId="77777777" w:rsidR="008A1149" w:rsidRPr="001F71DB" w:rsidRDefault="008A1149" w:rsidP="00AB1DC6">
            <w:pPr>
              <w:spacing w:after="0" w:line="240" w:lineRule="auto"/>
              <w:jc w:val="right"/>
              <w:rPr>
                <w:rFonts w:ascii="Arial" w:eastAsia="Times New Roman" w:hAnsi="Arial" w:cs="Arial"/>
                <w:color w:val="000000"/>
                <w:sz w:val="20"/>
                <w:szCs w:val="20"/>
                <w:lang w:eastAsia="en-GB"/>
              </w:rPr>
            </w:pPr>
            <w:r w:rsidRPr="001F71DB">
              <w:rPr>
                <w:rFonts w:ascii="Arial" w:eastAsia="Times New Roman" w:hAnsi="Arial" w:cs="Arial"/>
                <w:color w:val="000000"/>
                <w:sz w:val="20"/>
                <w:szCs w:val="20"/>
                <w:lang w:eastAsia="en-GB"/>
              </w:rPr>
              <w:t>384.8</w:t>
            </w:r>
          </w:p>
        </w:tc>
      </w:tr>
    </w:tbl>
    <w:p w14:paraId="1C1702F6" w14:textId="77777777" w:rsidR="008A1149" w:rsidRPr="00F8711F" w:rsidRDefault="008A1149" w:rsidP="008A1149">
      <w:pPr>
        <w:spacing w:after="0"/>
        <w:rPr>
          <w:rFonts w:ascii="Arial" w:hAnsi="Arial" w:cs="Arial"/>
          <w:b/>
          <w:bCs/>
          <w:sz w:val="20"/>
          <w:szCs w:val="20"/>
        </w:rPr>
      </w:pPr>
    </w:p>
    <w:p w14:paraId="39D94ED1" w14:textId="77777777" w:rsidR="008A1149" w:rsidRDefault="008A1149" w:rsidP="008A1149">
      <w:pPr>
        <w:spacing w:after="0"/>
        <w:jc w:val="both"/>
        <w:rPr>
          <w:rFonts w:ascii="Arial" w:hAnsi="Arial" w:cs="Arial"/>
          <w:sz w:val="20"/>
          <w:szCs w:val="20"/>
        </w:rPr>
      </w:pPr>
      <w:bookmarkStart w:id="16" w:name="_Hlk169821954"/>
      <w:r w:rsidRPr="00A267A2">
        <w:rPr>
          <w:rFonts w:ascii="Arial" w:hAnsi="Arial" w:cs="Arial"/>
          <w:sz w:val="20"/>
          <w:szCs w:val="20"/>
        </w:rPr>
        <w:t xml:space="preserve">In the </w:t>
      </w:r>
      <w:r>
        <w:rPr>
          <w:rFonts w:ascii="Arial" w:hAnsi="Arial" w:cs="Arial"/>
          <w:sz w:val="20"/>
          <w:szCs w:val="20"/>
        </w:rPr>
        <w:t>year</w:t>
      </w:r>
      <w:r w:rsidRPr="00A267A2">
        <w:rPr>
          <w:rFonts w:ascii="Arial" w:hAnsi="Arial" w:cs="Arial"/>
          <w:sz w:val="20"/>
          <w:szCs w:val="20"/>
        </w:rPr>
        <w:t>, the Company gained shareholder and court approval to release £384.9m (2023: £nil) from the share premium account to retained earnings.</w:t>
      </w:r>
    </w:p>
    <w:p w14:paraId="1CB569D8" w14:textId="77777777" w:rsidR="0051500E" w:rsidRDefault="0051500E" w:rsidP="008A1149">
      <w:pPr>
        <w:spacing w:after="0"/>
        <w:jc w:val="both"/>
        <w:rPr>
          <w:rFonts w:ascii="Arial" w:hAnsi="Arial" w:cs="Arial"/>
          <w:sz w:val="20"/>
          <w:szCs w:val="20"/>
        </w:rPr>
      </w:pPr>
    </w:p>
    <w:p w14:paraId="2F0C8EFA" w14:textId="77777777" w:rsidR="0051500E" w:rsidRDefault="0051500E" w:rsidP="008A1149">
      <w:pPr>
        <w:spacing w:after="0"/>
        <w:jc w:val="both"/>
        <w:rPr>
          <w:rFonts w:ascii="Arial" w:hAnsi="Arial" w:cs="Arial"/>
          <w:sz w:val="20"/>
          <w:szCs w:val="20"/>
        </w:rPr>
      </w:pPr>
    </w:p>
    <w:p w14:paraId="7921E43C" w14:textId="77777777" w:rsidR="0051500E" w:rsidRDefault="0051500E" w:rsidP="008A1149">
      <w:pPr>
        <w:spacing w:after="0"/>
        <w:jc w:val="both"/>
        <w:rPr>
          <w:rFonts w:ascii="Arial" w:hAnsi="Arial" w:cs="Arial"/>
          <w:sz w:val="20"/>
          <w:szCs w:val="20"/>
        </w:rPr>
      </w:pPr>
    </w:p>
    <w:p w14:paraId="09497A64" w14:textId="77777777" w:rsidR="0051500E" w:rsidRDefault="0051500E" w:rsidP="008A1149">
      <w:pPr>
        <w:spacing w:after="0"/>
        <w:jc w:val="both"/>
        <w:rPr>
          <w:rFonts w:ascii="Arial" w:hAnsi="Arial" w:cs="Arial"/>
          <w:sz w:val="20"/>
          <w:szCs w:val="20"/>
        </w:rPr>
      </w:pPr>
    </w:p>
    <w:p w14:paraId="38BB10FF" w14:textId="77777777" w:rsidR="0051500E" w:rsidRDefault="0051500E" w:rsidP="008A1149">
      <w:pPr>
        <w:spacing w:after="0"/>
        <w:jc w:val="both"/>
        <w:rPr>
          <w:rFonts w:ascii="Arial" w:hAnsi="Arial" w:cs="Arial"/>
          <w:sz w:val="20"/>
          <w:szCs w:val="20"/>
        </w:rPr>
      </w:pPr>
    </w:p>
    <w:p w14:paraId="6A86CA05" w14:textId="77777777" w:rsidR="0051500E" w:rsidRDefault="0051500E" w:rsidP="008A1149">
      <w:pPr>
        <w:spacing w:after="0"/>
        <w:jc w:val="both"/>
        <w:rPr>
          <w:rFonts w:ascii="Arial" w:hAnsi="Arial" w:cs="Arial"/>
          <w:sz w:val="20"/>
          <w:szCs w:val="20"/>
        </w:rPr>
      </w:pPr>
    </w:p>
    <w:p w14:paraId="2A225ADF" w14:textId="77777777" w:rsidR="0051500E" w:rsidRDefault="0051500E" w:rsidP="008A1149">
      <w:pPr>
        <w:spacing w:after="0"/>
        <w:jc w:val="both"/>
        <w:rPr>
          <w:rFonts w:ascii="Arial" w:hAnsi="Arial" w:cs="Arial"/>
          <w:sz w:val="20"/>
          <w:szCs w:val="20"/>
        </w:rPr>
      </w:pPr>
    </w:p>
    <w:p w14:paraId="25035AD1" w14:textId="77777777" w:rsidR="0051500E" w:rsidRDefault="0051500E" w:rsidP="008A1149">
      <w:pPr>
        <w:spacing w:after="0"/>
        <w:jc w:val="both"/>
        <w:rPr>
          <w:rFonts w:ascii="Arial" w:hAnsi="Arial" w:cs="Arial"/>
          <w:sz w:val="20"/>
          <w:szCs w:val="20"/>
        </w:rPr>
      </w:pPr>
    </w:p>
    <w:p w14:paraId="018647C2" w14:textId="77777777" w:rsidR="0051500E" w:rsidRDefault="0051500E" w:rsidP="008A1149">
      <w:pPr>
        <w:spacing w:after="0"/>
        <w:jc w:val="both"/>
        <w:rPr>
          <w:rFonts w:ascii="Arial" w:hAnsi="Arial" w:cs="Arial"/>
          <w:sz w:val="20"/>
          <w:szCs w:val="20"/>
        </w:rPr>
      </w:pPr>
    </w:p>
    <w:bookmarkEnd w:id="16"/>
    <w:p w14:paraId="28B44999" w14:textId="77777777" w:rsidR="00A139D5" w:rsidRDefault="00A139D5" w:rsidP="00CF2EDF">
      <w:pPr>
        <w:spacing w:after="0"/>
        <w:jc w:val="both"/>
        <w:rPr>
          <w:rFonts w:ascii="Arial" w:hAnsi="Arial" w:cs="Arial"/>
          <w:sz w:val="20"/>
          <w:szCs w:val="20"/>
        </w:rPr>
      </w:pPr>
    </w:p>
    <w:p w14:paraId="0ACC5AD0" w14:textId="6D564F12" w:rsidR="00CF2EDF" w:rsidRDefault="00CF2EDF" w:rsidP="00CF2EDF">
      <w:pPr>
        <w:spacing w:after="0"/>
        <w:jc w:val="both"/>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lastRenderedPageBreak/>
        <w:t>1</w:t>
      </w:r>
      <w:r w:rsidR="00FE6936">
        <w:rPr>
          <w:rFonts w:ascii="Arial" w:eastAsia="Times New Roman" w:hAnsi="Arial" w:cs="Arial"/>
          <w:b/>
          <w:bCs/>
          <w:color w:val="000000"/>
          <w:sz w:val="20"/>
          <w:szCs w:val="20"/>
          <w:lang w:eastAsia="en-GB"/>
        </w:rPr>
        <w:t>3</w:t>
      </w:r>
      <w:r w:rsidRPr="00E6362D">
        <w:rPr>
          <w:rFonts w:ascii="Arial" w:eastAsia="Times New Roman" w:hAnsi="Arial" w:cs="Arial"/>
          <w:b/>
          <w:bCs/>
          <w:color w:val="000000"/>
          <w:sz w:val="20"/>
          <w:szCs w:val="20"/>
          <w:lang w:eastAsia="en-GB"/>
        </w:rPr>
        <w:t xml:space="preserve">. </w:t>
      </w:r>
      <w:r w:rsidR="000E5830">
        <w:rPr>
          <w:rFonts w:ascii="Arial" w:eastAsia="Times New Roman" w:hAnsi="Arial" w:cs="Arial"/>
          <w:b/>
          <w:bCs/>
          <w:color w:val="000000"/>
          <w:sz w:val="20"/>
          <w:szCs w:val="20"/>
          <w:lang w:eastAsia="en-GB"/>
        </w:rPr>
        <w:t>Cash generated from operations</w:t>
      </w:r>
    </w:p>
    <w:p w14:paraId="1AE0F2EF" w14:textId="77777777" w:rsidR="008A1149" w:rsidRPr="00E6362D" w:rsidRDefault="008A1149" w:rsidP="00CF2EDF">
      <w:pPr>
        <w:spacing w:after="0"/>
        <w:jc w:val="both"/>
        <w:rPr>
          <w:rFonts w:ascii="Arial" w:hAnsi="Arial" w:cs="Arial"/>
          <w:sz w:val="20"/>
          <w:szCs w:val="20"/>
        </w:rPr>
      </w:pPr>
    </w:p>
    <w:tbl>
      <w:tblPr>
        <w:tblW w:w="9861" w:type="dxa"/>
        <w:tblInd w:w="-108" w:type="dxa"/>
        <w:tblLook w:val="04A0" w:firstRow="1" w:lastRow="0" w:firstColumn="1" w:lastColumn="0" w:noHBand="0" w:noVBand="1"/>
      </w:tblPr>
      <w:tblGrid>
        <w:gridCol w:w="6690"/>
        <w:gridCol w:w="1531"/>
        <w:gridCol w:w="1640"/>
      </w:tblGrid>
      <w:tr w:rsidR="008A1149" w:rsidRPr="00E6362D" w14:paraId="49CA5BCE" w14:textId="77777777" w:rsidTr="00AB1DC6">
        <w:trPr>
          <w:trHeight w:val="283"/>
        </w:trPr>
        <w:tc>
          <w:tcPr>
            <w:tcW w:w="6690" w:type="dxa"/>
            <w:shd w:val="clear" w:color="auto" w:fill="auto"/>
            <w:noWrap/>
            <w:vAlign w:val="bottom"/>
            <w:hideMark/>
          </w:tcPr>
          <w:p w14:paraId="231E32CD" w14:textId="77777777" w:rsidR="008A1149" w:rsidRPr="00E6362D" w:rsidRDefault="008A1149" w:rsidP="00AB1DC6">
            <w:pPr>
              <w:spacing w:after="0" w:line="240" w:lineRule="auto"/>
              <w:jc w:val="right"/>
              <w:rPr>
                <w:rFonts w:ascii="Arial" w:eastAsia="Times New Roman" w:hAnsi="Arial" w:cs="Arial"/>
                <w:sz w:val="20"/>
                <w:szCs w:val="20"/>
                <w:lang w:eastAsia="en-GB"/>
              </w:rPr>
            </w:pPr>
            <w:bookmarkStart w:id="17" w:name="_Hlk165297065"/>
          </w:p>
        </w:tc>
        <w:tc>
          <w:tcPr>
            <w:tcW w:w="1531" w:type="dxa"/>
            <w:shd w:val="clear" w:color="auto" w:fill="auto"/>
            <w:noWrap/>
            <w:vAlign w:val="bottom"/>
            <w:hideMark/>
          </w:tcPr>
          <w:p w14:paraId="588FAE86" w14:textId="77777777" w:rsidR="008A1149" w:rsidRPr="00F24B0A" w:rsidRDefault="008A1149" w:rsidP="00AB1DC6">
            <w:pPr>
              <w:spacing w:after="0" w:line="240" w:lineRule="auto"/>
              <w:jc w:val="right"/>
              <w:rPr>
                <w:rFonts w:ascii="Arial" w:eastAsia="Times New Roman" w:hAnsi="Arial" w:cs="Arial"/>
                <w:b/>
                <w:bCs/>
                <w:sz w:val="20"/>
                <w:szCs w:val="20"/>
                <w:lang w:eastAsia="en-GB"/>
              </w:rPr>
            </w:pPr>
            <w:r w:rsidRPr="00F24B0A">
              <w:rPr>
                <w:rFonts w:ascii="Arial" w:eastAsia="Times New Roman" w:hAnsi="Arial" w:cs="Arial"/>
                <w:b/>
                <w:bCs/>
                <w:sz w:val="20"/>
                <w:szCs w:val="20"/>
                <w:lang w:eastAsia="en-GB"/>
              </w:rPr>
              <w:t>2024</w:t>
            </w:r>
          </w:p>
        </w:tc>
        <w:tc>
          <w:tcPr>
            <w:tcW w:w="1640" w:type="dxa"/>
            <w:vAlign w:val="bottom"/>
          </w:tcPr>
          <w:p w14:paraId="1B273288" w14:textId="77777777" w:rsidR="008A1149" w:rsidRPr="00F24B0A" w:rsidRDefault="008A1149" w:rsidP="00AB1DC6">
            <w:pPr>
              <w:spacing w:after="0" w:line="240" w:lineRule="auto"/>
              <w:jc w:val="right"/>
              <w:rPr>
                <w:rFonts w:ascii="Arial" w:eastAsia="Times New Roman" w:hAnsi="Arial" w:cs="Arial"/>
                <w:b/>
                <w:bCs/>
                <w:color w:val="000000"/>
                <w:sz w:val="20"/>
                <w:szCs w:val="20"/>
                <w:lang w:eastAsia="en-GB"/>
              </w:rPr>
            </w:pPr>
            <w:r w:rsidRPr="00F24B0A">
              <w:rPr>
                <w:rFonts w:ascii="Arial" w:eastAsia="Times New Roman" w:hAnsi="Arial" w:cs="Arial"/>
                <w:b/>
                <w:bCs/>
                <w:sz w:val="20"/>
                <w:szCs w:val="20"/>
                <w:lang w:eastAsia="en-GB"/>
              </w:rPr>
              <w:t>2023</w:t>
            </w:r>
          </w:p>
        </w:tc>
      </w:tr>
      <w:tr w:rsidR="008A1149" w:rsidRPr="00E6362D" w14:paraId="39862F82" w14:textId="77777777" w:rsidTr="00AB1DC6">
        <w:trPr>
          <w:trHeight w:val="283"/>
        </w:trPr>
        <w:tc>
          <w:tcPr>
            <w:tcW w:w="6690" w:type="dxa"/>
            <w:tcBorders>
              <w:bottom w:val="single" w:sz="4" w:space="0" w:color="auto"/>
            </w:tcBorders>
            <w:shd w:val="clear" w:color="auto" w:fill="auto"/>
            <w:noWrap/>
            <w:vAlign w:val="bottom"/>
            <w:hideMark/>
          </w:tcPr>
          <w:p w14:paraId="7330C3DA" w14:textId="77777777" w:rsidR="008A1149" w:rsidRPr="00E6362D" w:rsidRDefault="008A1149" w:rsidP="00AB1DC6">
            <w:pPr>
              <w:spacing w:after="0" w:line="240" w:lineRule="auto"/>
              <w:jc w:val="right"/>
              <w:rPr>
                <w:rFonts w:ascii="Arial" w:eastAsia="Times New Roman" w:hAnsi="Arial" w:cs="Arial"/>
                <w:sz w:val="20"/>
                <w:szCs w:val="20"/>
                <w:lang w:eastAsia="en-GB"/>
              </w:rPr>
            </w:pPr>
          </w:p>
        </w:tc>
        <w:tc>
          <w:tcPr>
            <w:tcW w:w="1531" w:type="dxa"/>
            <w:tcBorders>
              <w:bottom w:val="single" w:sz="4" w:space="0" w:color="auto"/>
            </w:tcBorders>
            <w:shd w:val="clear" w:color="auto" w:fill="auto"/>
            <w:noWrap/>
            <w:vAlign w:val="bottom"/>
            <w:hideMark/>
          </w:tcPr>
          <w:p w14:paraId="30D6701E" w14:textId="77777777" w:rsidR="008A1149" w:rsidRPr="00F24B0A" w:rsidRDefault="008A1149" w:rsidP="00AB1DC6">
            <w:pPr>
              <w:spacing w:after="0" w:line="240" w:lineRule="auto"/>
              <w:jc w:val="right"/>
              <w:rPr>
                <w:rFonts w:ascii="Arial" w:eastAsia="Times New Roman" w:hAnsi="Arial" w:cs="Arial"/>
                <w:b/>
                <w:bCs/>
                <w:color w:val="000000"/>
                <w:sz w:val="20"/>
                <w:szCs w:val="20"/>
                <w:lang w:eastAsia="en-GB"/>
              </w:rPr>
            </w:pPr>
            <w:r w:rsidRPr="00F24B0A">
              <w:rPr>
                <w:rFonts w:ascii="Arial" w:eastAsia="Times New Roman" w:hAnsi="Arial" w:cs="Arial"/>
                <w:b/>
                <w:bCs/>
                <w:color w:val="000000"/>
                <w:sz w:val="20"/>
                <w:szCs w:val="20"/>
                <w:lang w:eastAsia="en-GB"/>
              </w:rPr>
              <w:t>£’m</w:t>
            </w:r>
          </w:p>
        </w:tc>
        <w:tc>
          <w:tcPr>
            <w:tcW w:w="1640" w:type="dxa"/>
            <w:tcBorders>
              <w:bottom w:val="single" w:sz="4" w:space="0" w:color="auto"/>
            </w:tcBorders>
            <w:vAlign w:val="bottom"/>
          </w:tcPr>
          <w:p w14:paraId="2D97F45C" w14:textId="77777777" w:rsidR="008A1149" w:rsidRPr="00F24B0A" w:rsidRDefault="008A1149" w:rsidP="00AB1DC6">
            <w:pPr>
              <w:spacing w:after="0" w:line="240" w:lineRule="auto"/>
              <w:jc w:val="right"/>
              <w:rPr>
                <w:rFonts w:ascii="Arial" w:eastAsia="Times New Roman" w:hAnsi="Arial" w:cs="Arial"/>
                <w:b/>
                <w:bCs/>
                <w:color w:val="000000"/>
                <w:sz w:val="20"/>
                <w:szCs w:val="20"/>
                <w:lang w:eastAsia="en-GB"/>
              </w:rPr>
            </w:pPr>
            <w:r w:rsidRPr="00F24B0A">
              <w:rPr>
                <w:rFonts w:ascii="Arial" w:eastAsia="Times New Roman" w:hAnsi="Arial" w:cs="Arial"/>
                <w:b/>
                <w:bCs/>
                <w:color w:val="000000"/>
                <w:sz w:val="20"/>
                <w:szCs w:val="20"/>
                <w:lang w:eastAsia="en-GB"/>
              </w:rPr>
              <w:t>£’m</w:t>
            </w:r>
          </w:p>
        </w:tc>
      </w:tr>
      <w:tr w:rsidR="008A1149" w:rsidRPr="00E6362D" w14:paraId="3A55C16D" w14:textId="77777777" w:rsidTr="00AB1DC6">
        <w:trPr>
          <w:trHeight w:val="283"/>
        </w:trPr>
        <w:tc>
          <w:tcPr>
            <w:tcW w:w="6690" w:type="dxa"/>
            <w:tcBorders>
              <w:top w:val="single" w:sz="4" w:space="0" w:color="auto"/>
            </w:tcBorders>
            <w:shd w:val="clear" w:color="auto" w:fill="auto"/>
            <w:noWrap/>
            <w:vAlign w:val="center"/>
            <w:hideMark/>
          </w:tcPr>
          <w:p w14:paraId="6BD97001" w14:textId="23246359" w:rsidR="008A1149" w:rsidRPr="00E6362D" w:rsidRDefault="008A1149" w:rsidP="00AB1DC6">
            <w:pPr>
              <w:spacing w:after="0" w:line="240" w:lineRule="auto"/>
              <w:rPr>
                <w:rFonts w:ascii="Arial" w:eastAsia="Times New Roman" w:hAnsi="Arial" w:cs="Arial"/>
                <w:i/>
                <w:iCs/>
                <w:color w:val="000000"/>
                <w:sz w:val="20"/>
                <w:szCs w:val="20"/>
                <w:lang w:eastAsia="en-GB"/>
              </w:rPr>
            </w:pPr>
          </w:p>
        </w:tc>
        <w:tc>
          <w:tcPr>
            <w:tcW w:w="1531" w:type="dxa"/>
            <w:tcBorders>
              <w:top w:val="single" w:sz="4" w:space="0" w:color="auto"/>
            </w:tcBorders>
            <w:shd w:val="clear" w:color="auto" w:fill="auto"/>
            <w:noWrap/>
            <w:vAlign w:val="bottom"/>
          </w:tcPr>
          <w:p w14:paraId="0FAAD824" w14:textId="77777777" w:rsidR="008A1149" w:rsidRPr="00E6362D" w:rsidRDefault="008A1149" w:rsidP="00AB1DC6">
            <w:pPr>
              <w:spacing w:after="0" w:line="240" w:lineRule="auto"/>
              <w:jc w:val="right"/>
              <w:rPr>
                <w:rFonts w:ascii="Arial" w:eastAsia="Times New Roman" w:hAnsi="Arial" w:cs="Arial"/>
                <w:color w:val="000000"/>
                <w:sz w:val="20"/>
                <w:szCs w:val="20"/>
                <w:lang w:eastAsia="en-GB"/>
              </w:rPr>
            </w:pPr>
          </w:p>
        </w:tc>
        <w:tc>
          <w:tcPr>
            <w:tcW w:w="1640" w:type="dxa"/>
            <w:tcBorders>
              <w:top w:val="single" w:sz="4" w:space="0" w:color="auto"/>
            </w:tcBorders>
            <w:vAlign w:val="bottom"/>
          </w:tcPr>
          <w:p w14:paraId="2832A7A2" w14:textId="77777777" w:rsidR="008A1149" w:rsidRPr="00E6362D" w:rsidRDefault="008A1149" w:rsidP="00AB1DC6">
            <w:pPr>
              <w:spacing w:after="0" w:line="240" w:lineRule="auto"/>
              <w:jc w:val="right"/>
              <w:rPr>
                <w:rFonts w:ascii="Arial" w:eastAsia="Times New Roman" w:hAnsi="Arial" w:cs="Arial"/>
                <w:color w:val="000000"/>
                <w:sz w:val="20"/>
                <w:szCs w:val="20"/>
                <w:lang w:eastAsia="en-GB"/>
              </w:rPr>
            </w:pPr>
          </w:p>
        </w:tc>
      </w:tr>
      <w:tr w:rsidR="008A1149" w:rsidRPr="00E6362D" w14:paraId="1FE08FA7" w14:textId="77777777" w:rsidTr="00AB1DC6">
        <w:trPr>
          <w:trHeight w:val="283"/>
        </w:trPr>
        <w:tc>
          <w:tcPr>
            <w:tcW w:w="6690" w:type="dxa"/>
            <w:shd w:val="clear" w:color="auto" w:fill="auto"/>
            <w:noWrap/>
            <w:vAlign w:val="center"/>
            <w:hideMark/>
          </w:tcPr>
          <w:p w14:paraId="06EA48B2" w14:textId="77777777"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Loss before tax</w:t>
            </w:r>
          </w:p>
        </w:tc>
        <w:tc>
          <w:tcPr>
            <w:tcW w:w="1531" w:type="dxa"/>
            <w:shd w:val="clear" w:color="auto" w:fill="auto"/>
            <w:noWrap/>
            <w:vAlign w:val="bottom"/>
          </w:tcPr>
          <w:p w14:paraId="64F37CD3" w14:textId="77777777" w:rsidR="008A1149" w:rsidRPr="00625A6D" w:rsidRDefault="008A1149" w:rsidP="00AB1DC6">
            <w:pPr>
              <w:spacing w:after="0" w:line="240" w:lineRule="auto"/>
              <w:jc w:val="right"/>
              <w:rPr>
                <w:rFonts w:ascii="Arial" w:eastAsia="Times New Roman" w:hAnsi="Arial" w:cs="Arial"/>
                <w:b/>
                <w:bCs/>
                <w:color w:val="000000"/>
                <w:sz w:val="20"/>
                <w:szCs w:val="20"/>
                <w:lang w:eastAsia="en-GB"/>
              </w:rPr>
            </w:pPr>
            <w:r w:rsidRPr="005A020D">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10.9</w:t>
            </w:r>
            <w:r w:rsidRPr="005A020D">
              <w:rPr>
                <w:rFonts w:ascii="Arial" w:eastAsia="Times New Roman" w:hAnsi="Arial" w:cs="Arial"/>
                <w:b/>
                <w:bCs/>
                <w:color w:val="000000"/>
                <w:sz w:val="20"/>
                <w:szCs w:val="20"/>
                <w:lang w:eastAsia="en-GB"/>
              </w:rPr>
              <w:t>)</w:t>
            </w:r>
          </w:p>
        </w:tc>
        <w:tc>
          <w:tcPr>
            <w:tcW w:w="1640" w:type="dxa"/>
            <w:vAlign w:val="bottom"/>
          </w:tcPr>
          <w:p w14:paraId="6C089247" w14:textId="77777777" w:rsidR="008A1149" w:rsidRPr="00E6362D" w:rsidRDefault="008A1149" w:rsidP="00AB1DC6">
            <w:pPr>
              <w:spacing w:after="0" w:line="240" w:lineRule="auto"/>
              <w:jc w:val="right"/>
              <w:rPr>
                <w:rFonts w:ascii="Arial" w:hAnsi="Arial" w:cs="Arial"/>
                <w:sz w:val="20"/>
                <w:szCs w:val="20"/>
              </w:rPr>
            </w:pPr>
            <w:r>
              <w:rPr>
                <w:rFonts w:ascii="Arial" w:hAnsi="Arial" w:cs="Arial"/>
                <w:sz w:val="20"/>
                <w:szCs w:val="20"/>
              </w:rPr>
              <w:t>(6.9)</w:t>
            </w:r>
          </w:p>
        </w:tc>
      </w:tr>
      <w:tr w:rsidR="008A1149" w:rsidRPr="00E6362D" w14:paraId="3E47DCD8" w14:textId="77777777" w:rsidTr="00AB1DC6">
        <w:trPr>
          <w:trHeight w:val="283"/>
        </w:trPr>
        <w:tc>
          <w:tcPr>
            <w:tcW w:w="6690" w:type="dxa"/>
            <w:shd w:val="clear" w:color="auto" w:fill="auto"/>
            <w:noWrap/>
            <w:vAlign w:val="center"/>
            <w:hideMark/>
          </w:tcPr>
          <w:p w14:paraId="04F3B5D7" w14:textId="77777777"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Depreciation of property, plant and equipment, depreciation of right</w:t>
            </w:r>
            <w:r>
              <w:rPr>
                <w:rFonts w:ascii="Arial" w:eastAsia="Times New Roman" w:hAnsi="Arial" w:cs="Arial"/>
                <w:color w:val="000000"/>
                <w:sz w:val="20"/>
                <w:szCs w:val="20"/>
                <w:lang w:eastAsia="en-GB"/>
              </w:rPr>
              <w:t>-</w:t>
            </w:r>
            <w:r w:rsidRPr="00E6362D">
              <w:rPr>
                <w:rFonts w:ascii="Arial" w:eastAsia="Times New Roman" w:hAnsi="Arial" w:cs="Arial"/>
                <w:color w:val="000000"/>
                <w:sz w:val="20"/>
                <w:szCs w:val="20"/>
                <w:lang w:eastAsia="en-GB"/>
              </w:rPr>
              <w:t>of</w:t>
            </w:r>
            <w:r>
              <w:rPr>
                <w:rFonts w:ascii="Arial" w:eastAsia="Times New Roman" w:hAnsi="Arial" w:cs="Arial"/>
                <w:color w:val="000000"/>
                <w:sz w:val="20"/>
                <w:szCs w:val="20"/>
                <w:lang w:eastAsia="en-GB"/>
              </w:rPr>
              <w:t>-</w:t>
            </w:r>
            <w:r w:rsidRPr="00E6362D">
              <w:rPr>
                <w:rFonts w:ascii="Arial" w:eastAsia="Times New Roman" w:hAnsi="Arial" w:cs="Arial"/>
                <w:color w:val="000000"/>
                <w:sz w:val="20"/>
                <w:szCs w:val="20"/>
                <w:lang w:eastAsia="en-GB"/>
              </w:rPr>
              <w:t>use assets and amortisation of non-acquisition intangibles</w:t>
            </w:r>
          </w:p>
        </w:tc>
        <w:tc>
          <w:tcPr>
            <w:tcW w:w="1531" w:type="dxa"/>
            <w:shd w:val="clear" w:color="auto" w:fill="auto"/>
            <w:vAlign w:val="bottom"/>
          </w:tcPr>
          <w:p w14:paraId="1493A71D" w14:textId="77777777" w:rsidR="008A1149" w:rsidRPr="00625A6D"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w:t>
            </w:r>
            <w:r w:rsidRPr="005A020D">
              <w:rPr>
                <w:rFonts w:ascii="Arial" w:eastAsia="Times New Roman" w:hAnsi="Arial" w:cs="Arial"/>
                <w:b/>
                <w:bCs/>
                <w:color w:val="000000"/>
                <w:sz w:val="20"/>
                <w:szCs w:val="20"/>
                <w:lang w:eastAsia="en-GB"/>
              </w:rPr>
              <w:t xml:space="preserve">.9 </w:t>
            </w:r>
          </w:p>
        </w:tc>
        <w:tc>
          <w:tcPr>
            <w:tcW w:w="1640" w:type="dxa"/>
            <w:vAlign w:val="bottom"/>
          </w:tcPr>
          <w:p w14:paraId="7F7ECB3D" w14:textId="77777777" w:rsidR="008A1149" w:rsidRPr="00E6362D" w:rsidRDefault="008A1149" w:rsidP="00AB1DC6">
            <w:pPr>
              <w:spacing w:after="0" w:line="240" w:lineRule="auto"/>
              <w:jc w:val="right"/>
              <w:rPr>
                <w:rFonts w:ascii="Arial" w:hAnsi="Arial" w:cs="Arial"/>
                <w:sz w:val="20"/>
                <w:szCs w:val="20"/>
              </w:rPr>
            </w:pPr>
            <w:r>
              <w:rPr>
                <w:rFonts w:ascii="Arial" w:hAnsi="Arial" w:cs="Arial"/>
                <w:sz w:val="20"/>
                <w:szCs w:val="20"/>
              </w:rPr>
              <w:t>18.4</w:t>
            </w:r>
          </w:p>
        </w:tc>
      </w:tr>
      <w:tr w:rsidR="008A1149" w:rsidRPr="00E6362D" w14:paraId="76F62785" w14:textId="77777777" w:rsidTr="00AB1DC6">
        <w:trPr>
          <w:trHeight w:val="283"/>
        </w:trPr>
        <w:tc>
          <w:tcPr>
            <w:tcW w:w="6690" w:type="dxa"/>
            <w:shd w:val="clear" w:color="auto" w:fill="auto"/>
            <w:noWrap/>
            <w:vAlign w:val="center"/>
            <w:hideMark/>
          </w:tcPr>
          <w:p w14:paraId="65F023B5" w14:textId="77777777"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Amortisation of acqui</w:t>
            </w:r>
            <w:r>
              <w:rPr>
                <w:rFonts w:ascii="Arial" w:eastAsia="Times New Roman" w:hAnsi="Arial" w:cs="Arial"/>
                <w:color w:val="000000"/>
                <w:sz w:val="20"/>
                <w:szCs w:val="20"/>
                <w:lang w:eastAsia="en-GB"/>
              </w:rPr>
              <w:t>red</w:t>
            </w:r>
            <w:r w:rsidRPr="00E6362D">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i</w:t>
            </w:r>
            <w:r w:rsidRPr="00E6362D">
              <w:rPr>
                <w:rFonts w:ascii="Arial" w:eastAsia="Times New Roman" w:hAnsi="Arial" w:cs="Arial"/>
                <w:color w:val="000000"/>
                <w:sz w:val="20"/>
                <w:szCs w:val="20"/>
                <w:lang w:eastAsia="en-GB"/>
              </w:rPr>
              <w:t>ntangibles</w:t>
            </w:r>
          </w:p>
        </w:tc>
        <w:tc>
          <w:tcPr>
            <w:tcW w:w="1531" w:type="dxa"/>
            <w:shd w:val="clear" w:color="auto" w:fill="auto"/>
            <w:noWrap/>
            <w:vAlign w:val="bottom"/>
          </w:tcPr>
          <w:p w14:paraId="4896BD68" w14:textId="77777777" w:rsidR="008A1149" w:rsidRPr="00625A6D"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25.6</w:t>
            </w:r>
            <w:r w:rsidRPr="005A020D">
              <w:rPr>
                <w:rFonts w:ascii="Arial" w:eastAsia="Times New Roman" w:hAnsi="Arial" w:cs="Arial"/>
                <w:b/>
                <w:bCs/>
                <w:color w:val="000000"/>
                <w:sz w:val="20"/>
                <w:szCs w:val="20"/>
                <w:lang w:eastAsia="en-GB"/>
              </w:rPr>
              <w:t xml:space="preserve"> </w:t>
            </w:r>
          </w:p>
        </w:tc>
        <w:tc>
          <w:tcPr>
            <w:tcW w:w="1640" w:type="dxa"/>
            <w:vAlign w:val="bottom"/>
          </w:tcPr>
          <w:p w14:paraId="59ED12C6" w14:textId="77777777" w:rsidR="008A1149" w:rsidRPr="00E6362D" w:rsidRDefault="008A1149" w:rsidP="00AB1DC6">
            <w:pPr>
              <w:spacing w:after="0" w:line="240" w:lineRule="auto"/>
              <w:jc w:val="right"/>
              <w:rPr>
                <w:rFonts w:ascii="Arial" w:hAnsi="Arial" w:cs="Arial"/>
                <w:sz w:val="20"/>
                <w:szCs w:val="20"/>
              </w:rPr>
            </w:pPr>
            <w:r>
              <w:rPr>
                <w:rFonts w:ascii="Arial" w:hAnsi="Arial" w:cs="Arial"/>
                <w:sz w:val="20"/>
                <w:szCs w:val="20"/>
              </w:rPr>
              <w:t>24.0</w:t>
            </w:r>
          </w:p>
        </w:tc>
      </w:tr>
      <w:tr w:rsidR="004F6977" w:rsidRPr="00E6362D" w14:paraId="67F0BB32" w14:textId="77777777" w:rsidTr="00AB1DC6">
        <w:trPr>
          <w:trHeight w:val="283"/>
        </w:trPr>
        <w:tc>
          <w:tcPr>
            <w:tcW w:w="6690" w:type="dxa"/>
            <w:shd w:val="clear" w:color="auto" w:fill="auto"/>
            <w:noWrap/>
            <w:vAlign w:val="center"/>
          </w:tcPr>
          <w:p w14:paraId="59036EC2" w14:textId="193FA400" w:rsidR="004F6977" w:rsidRPr="00E6362D" w:rsidRDefault="004F6977" w:rsidP="00AB1D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Loss on sale of fixed assets</w:t>
            </w:r>
          </w:p>
        </w:tc>
        <w:tc>
          <w:tcPr>
            <w:tcW w:w="1531" w:type="dxa"/>
            <w:shd w:val="clear" w:color="auto" w:fill="auto"/>
            <w:noWrap/>
            <w:vAlign w:val="bottom"/>
          </w:tcPr>
          <w:p w14:paraId="73BCF45F" w14:textId="4793BB2D" w:rsidR="004F6977" w:rsidRDefault="000E5830"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r w:rsidR="004F6977">
              <w:rPr>
                <w:rFonts w:ascii="Arial" w:eastAsia="Times New Roman" w:hAnsi="Arial" w:cs="Arial"/>
                <w:b/>
                <w:bCs/>
                <w:color w:val="000000"/>
                <w:sz w:val="20"/>
                <w:szCs w:val="20"/>
                <w:lang w:eastAsia="en-GB"/>
              </w:rPr>
              <w:t>0.2</w:t>
            </w:r>
            <w:r>
              <w:rPr>
                <w:rFonts w:ascii="Arial" w:eastAsia="Times New Roman" w:hAnsi="Arial" w:cs="Arial"/>
                <w:b/>
                <w:bCs/>
                <w:color w:val="000000"/>
                <w:sz w:val="20"/>
                <w:szCs w:val="20"/>
                <w:lang w:eastAsia="en-GB"/>
              </w:rPr>
              <w:t>)</w:t>
            </w:r>
          </w:p>
        </w:tc>
        <w:tc>
          <w:tcPr>
            <w:tcW w:w="1640" w:type="dxa"/>
            <w:vAlign w:val="bottom"/>
          </w:tcPr>
          <w:p w14:paraId="32F7CFEE" w14:textId="6F7DE4AC" w:rsidR="004F6977" w:rsidRDefault="004F6977" w:rsidP="00AB1DC6">
            <w:pPr>
              <w:spacing w:after="0" w:line="240" w:lineRule="auto"/>
              <w:jc w:val="right"/>
              <w:rPr>
                <w:rFonts w:ascii="Arial" w:hAnsi="Arial" w:cs="Arial"/>
                <w:sz w:val="20"/>
                <w:szCs w:val="20"/>
              </w:rPr>
            </w:pPr>
            <w:r>
              <w:rPr>
                <w:rFonts w:ascii="Arial" w:hAnsi="Arial" w:cs="Arial"/>
                <w:sz w:val="20"/>
                <w:szCs w:val="20"/>
              </w:rPr>
              <w:t>-</w:t>
            </w:r>
          </w:p>
        </w:tc>
      </w:tr>
      <w:tr w:rsidR="008A1149" w:rsidRPr="00E6362D" w14:paraId="36208B65" w14:textId="77777777" w:rsidTr="00AB1DC6">
        <w:trPr>
          <w:trHeight w:val="283"/>
        </w:trPr>
        <w:tc>
          <w:tcPr>
            <w:tcW w:w="6690" w:type="dxa"/>
            <w:shd w:val="clear" w:color="auto" w:fill="auto"/>
            <w:noWrap/>
            <w:vAlign w:val="center"/>
          </w:tcPr>
          <w:p w14:paraId="5C57013E" w14:textId="77777777"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Share based payments (excluding SAYE schemes)</w:t>
            </w:r>
          </w:p>
        </w:tc>
        <w:tc>
          <w:tcPr>
            <w:tcW w:w="1531" w:type="dxa"/>
            <w:shd w:val="clear" w:color="auto" w:fill="auto"/>
            <w:noWrap/>
            <w:vAlign w:val="bottom"/>
          </w:tcPr>
          <w:p w14:paraId="10D77EF8" w14:textId="77777777" w:rsidR="008A1149" w:rsidRPr="00625A6D"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(0.8)</w:t>
            </w:r>
            <w:r w:rsidRPr="005A020D">
              <w:rPr>
                <w:rFonts w:ascii="Arial" w:eastAsia="Times New Roman" w:hAnsi="Arial" w:cs="Arial"/>
                <w:b/>
                <w:bCs/>
                <w:color w:val="000000"/>
                <w:sz w:val="20"/>
                <w:szCs w:val="20"/>
                <w:lang w:eastAsia="en-GB"/>
              </w:rPr>
              <w:t xml:space="preserve"> </w:t>
            </w:r>
          </w:p>
        </w:tc>
        <w:tc>
          <w:tcPr>
            <w:tcW w:w="1640" w:type="dxa"/>
            <w:vAlign w:val="bottom"/>
          </w:tcPr>
          <w:p w14:paraId="362EA299" w14:textId="77777777" w:rsidR="008A1149" w:rsidRPr="00E6362D" w:rsidRDefault="008A1149" w:rsidP="00AB1DC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w:t>
            </w:r>
          </w:p>
        </w:tc>
      </w:tr>
      <w:tr w:rsidR="008A1149" w:rsidRPr="00E6362D" w14:paraId="58B33562" w14:textId="77777777" w:rsidTr="00AB1DC6">
        <w:trPr>
          <w:trHeight w:val="283"/>
        </w:trPr>
        <w:tc>
          <w:tcPr>
            <w:tcW w:w="6690" w:type="dxa"/>
            <w:shd w:val="clear" w:color="auto" w:fill="auto"/>
            <w:noWrap/>
            <w:vAlign w:val="center"/>
            <w:hideMark/>
          </w:tcPr>
          <w:p w14:paraId="199063EE" w14:textId="77777777"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Fair value losses in contingent consideration and acquisition related incentive schemes</w:t>
            </w:r>
          </w:p>
        </w:tc>
        <w:tc>
          <w:tcPr>
            <w:tcW w:w="1531" w:type="dxa"/>
            <w:shd w:val="clear" w:color="auto" w:fill="auto"/>
            <w:noWrap/>
            <w:vAlign w:val="bottom"/>
          </w:tcPr>
          <w:p w14:paraId="53566AD1" w14:textId="227D586D" w:rsidR="008A1149" w:rsidRPr="00625A6D" w:rsidRDefault="004F6977"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5.0</w:t>
            </w:r>
          </w:p>
        </w:tc>
        <w:tc>
          <w:tcPr>
            <w:tcW w:w="1640" w:type="dxa"/>
            <w:vAlign w:val="bottom"/>
          </w:tcPr>
          <w:p w14:paraId="354CA719" w14:textId="77777777" w:rsidR="008A1149" w:rsidRPr="00E6362D" w:rsidRDefault="008A1149" w:rsidP="00AB1DC6">
            <w:pPr>
              <w:spacing w:after="0" w:line="240" w:lineRule="auto"/>
              <w:jc w:val="right"/>
              <w:rPr>
                <w:rFonts w:ascii="Arial" w:hAnsi="Arial" w:cs="Arial"/>
                <w:sz w:val="20"/>
                <w:szCs w:val="20"/>
              </w:rPr>
            </w:pPr>
            <w:r>
              <w:rPr>
                <w:rFonts w:ascii="Arial" w:hAnsi="Arial" w:cs="Arial"/>
                <w:sz w:val="20"/>
                <w:szCs w:val="20"/>
              </w:rPr>
              <w:t>8.4</w:t>
            </w:r>
          </w:p>
        </w:tc>
      </w:tr>
      <w:tr w:rsidR="008A1149" w:rsidRPr="00E6362D" w14:paraId="38A260A8" w14:textId="77777777" w:rsidTr="00AB1DC6">
        <w:trPr>
          <w:trHeight w:val="283"/>
        </w:trPr>
        <w:tc>
          <w:tcPr>
            <w:tcW w:w="6690" w:type="dxa"/>
            <w:shd w:val="clear" w:color="auto" w:fill="auto"/>
            <w:noWrap/>
            <w:vAlign w:val="center"/>
          </w:tcPr>
          <w:p w14:paraId="6E13DF7E" w14:textId="77777777"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Net finance costs</w:t>
            </w:r>
          </w:p>
        </w:tc>
        <w:tc>
          <w:tcPr>
            <w:tcW w:w="1531" w:type="dxa"/>
            <w:shd w:val="clear" w:color="auto" w:fill="auto"/>
            <w:noWrap/>
            <w:vAlign w:val="bottom"/>
          </w:tcPr>
          <w:p w14:paraId="0B71DE63" w14:textId="0BEC3537" w:rsidR="008A1149" w:rsidRPr="00625A6D" w:rsidRDefault="004F6977"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20.5</w:t>
            </w:r>
          </w:p>
        </w:tc>
        <w:tc>
          <w:tcPr>
            <w:tcW w:w="1640" w:type="dxa"/>
            <w:vAlign w:val="bottom"/>
          </w:tcPr>
          <w:p w14:paraId="2A6D27F3" w14:textId="77777777" w:rsidR="008A1149" w:rsidRPr="00E6362D" w:rsidRDefault="008A1149" w:rsidP="00AB1DC6">
            <w:pPr>
              <w:spacing w:after="0" w:line="240" w:lineRule="auto"/>
              <w:jc w:val="right"/>
              <w:rPr>
                <w:rFonts w:ascii="Arial" w:hAnsi="Arial" w:cs="Arial"/>
                <w:sz w:val="20"/>
                <w:szCs w:val="20"/>
              </w:rPr>
            </w:pPr>
            <w:r>
              <w:rPr>
                <w:rFonts w:ascii="Arial" w:hAnsi="Arial" w:cs="Arial"/>
                <w:sz w:val="20"/>
                <w:szCs w:val="20"/>
              </w:rPr>
              <w:t>13.3</w:t>
            </w:r>
          </w:p>
        </w:tc>
      </w:tr>
      <w:tr w:rsidR="008A1149" w:rsidRPr="00E6362D" w14:paraId="7B23B9F8" w14:textId="77777777" w:rsidTr="00AB1DC6">
        <w:trPr>
          <w:trHeight w:val="283"/>
        </w:trPr>
        <w:tc>
          <w:tcPr>
            <w:tcW w:w="6690" w:type="dxa"/>
            <w:shd w:val="clear" w:color="auto" w:fill="auto"/>
            <w:noWrap/>
            <w:vAlign w:val="center"/>
            <w:hideMark/>
          </w:tcPr>
          <w:p w14:paraId="4862DC88" w14:textId="77777777"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Increase in inventories</w:t>
            </w:r>
          </w:p>
        </w:tc>
        <w:tc>
          <w:tcPr>
            <w:tcW w:w="1531" w:type="dxa"/>
            <w:shd w:val="clear" w:color="auto" w:fill="auto"/>
            <w:noWrap/>
            <w:vAlign w:val="bottom"/>
          </w:tcPr>
          <w:p w14:paraId="13B31C89" w14:textId="77777777" w:rsidR="008A1149" w:rsidRPr="00625A6D" w:rsidRDefault="008A1149" w:rsidP="00AB1DC6">
            <w:pPr>
              <w:spacing w:after="0" w:line="240" w:lineRule="auto"/>
              <w:jc w:val="right"/>
              <w:rPr>
                <w:rFonts w:ascii="Arial" w:eastAsia="Times New Roman" w:hAnsi="Arial" w:cs="Arial"/>
                <w:b/>
                <w:bCs/>
                <w:color w:val="000000"/>
                <w:sz w:val="20"/>
                <w:szCs w:val="20"/>
                <w:lang w:eastAsia="en-GB"/>
              </w:rPr>
            </w:pPr>
            <w:r w:rsidRPr="005A020D">
              <w:rPr>
                <w:rFonts w:ascii="Arial" w:eastAsia="Times New Roman" w:hAnsi="Arial" w:cs="Arial"/>
                <w:b/>
                <w:bCs/>
                <w:color w:val="000000"/>
                <w:sz w:val="20"/>
                <w:szCs w:val="20"/>
                <w:lang w:eastAsia="en-GB"/>
              </w:rPr>
              <w:t xml:space="preserve">- </w:t>
            </w:r>
          </w:p>
        </w:tc>
        <w:tc>
          <w:tcPr>
            <w:tcW w:w="1640" w:type="dxa"/>
            <w:vAlign w:val="bottom"/>
          </w:tcPr>
          <w:p w14:paraId="595A600D" w14:textId="77777777" w:rsidR="008A1149" w:rsidRPr="00E6362D" w:rsidRDefault="008A1149" w:rsidP="00AB1DC6">
            <w:pPr>
              <w:spacing w:after="0" w:line="240" w:lineRule="auto"/>
              <w:jc w:val="right"/>
              <w:rPr>
                <w:rFonts w:ascii="Arial" w:hAnsi="Arial" w:cs="Arial"/>
                <w:sz w:val="20"/>
                <w:szCs w:val="20"/>
              </w:rPr>
            </w:pPr>
            <w:r>
              <w:rPr>
                <w:rFonts w:ascii="Arial" w:hAnsi="Arial" w:cs="Arial"/>
                <w:sz w:val="20"/>
                <w:szCs w:val="20"/>
              </w:rPr>
              <w:t>(1.7)</w:t>
            </w:r>
          </w:p>
        </w:tc>
      </w:tr>
      <w:tr w:rsidR="008A1149" w:rsidRPr="00E6362D" w14:paraId="6D9F2133" w14:textId="77777777" w:rsidTr="00AB1DC6">
        <w:trPr>
          <w:trHeight w:val="283"/>
        </w:trPr>
        <w:tc>
          <w:tcPr>
            <w:tcW w:w="6690" w:type="dxa"/>
            <w:shd w:val="clear" w:color="auto" w:fill="auto"/>
            <w:noWrap/>
            <w:vAlign w:val="center"/>
            <w:hideMark/>
          </w:tcPr>
          <w:p w14:paraId="24A26AD6" w14:textId="5D714AC1"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Increase in trade and other receivables</w:t>
            </w:r>
          </w:p>
        </w:tc>
        <w:tc>
          <w:tcPr>
            <w:tcW w:w="1531" w:type="dxa"/>
            <w:shd w:val="clear" w:color="auto" w:fill="auto"/>
            <w:noWrap/>
            <w:vAlign w:val="bottom"/>
          </w:tcPr>
          <w:p w14:paraId="05E96472" w14:textId="77777777" w:rsidR="008A1149" w:rsidRPr="00625A6D"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(1.2)</w:t>
            </w:r>
            <w:r w:rsidRPr="005A020D">
              <w:rPr>
                <w:rFonts w:ascii="Arial" w:eastAsia="Times New Roman" w:hAnsi="Arial" w:cs="Arial"/>
                <w:b/>
                <w:bCs/>
                <w:color w:val="000000"/>
                <w:sz w:val="20"/>
                <w:szCs w:val="20"/>
                <w:lang w:eastAsia="en-GB"/>
              </w:rPr>
              <w:t xml:space="preserve"> </w:t>
            </w:r>
          </w:p>
        </w:tc>
        <w:tc>
          <w:tcPr>
            <w:tcW w:w="1640" w:type="dxa"/>
            <w:vAlign w:val="bottom"/>
          </w:tcPr>
          <w:p w14:paraId="65BF0E94" w14:textId="77777777" w:rsidR="008A1149" w:rsidRPr="00E6362D" w:rsidRDefault="008A1149" w:rsidP="00AB1DC6">
            <w:pPr>
              <w:spacing w:after="0" w:line="240" w:lineRule="auto"/>
              <w:jc w:val="right"/>
              <w:rPr>
                <w:rFonts w:ascii="Arial" w:hAnsi="Arial" w:cs="Arial"/>
                <w:sz w:val="20"/>
                <w:szCs w:val="20"/>
              </w:rPr>
            </w:pPr>
            <w:r>
              <w:rPr>
                <w:rFonts w:ascii="Arial" w:hAnsi="Arial" w:cs="Arial"/>
                <w:sz w:val="20"/>
                <w:szCs w:val="20"/>
              </w:rPr>
              <w:t>(12.0)</w:t>
            </w:r>
          </w:p>
        </w:tc>
      </w:tr>
      <w:tr w:rsidR="008A1149" w:rsidRPr="00E6362D" w14:paraId="47BA0CBC" w14:textId="77777777" w:rsidTr="00AB1DC6">
        <w:trPr>
          <w:trHeight w:val="283"/>
        </w:trPr>
        <w:tc>
          <w:tcPr>
            <w:tcW w:w="6690" w:type="dxa"/>
            <w:tcBorders>
              <w:bottom w:val="single" w:sz="4" w:space="0" w:color="auto"/>
            </w:tcBorders>
            <w:shd w:val="clear" w:color="auto" w:fill="auto"/>
            <w:noWrap/>
            <w:vAlign w:val="center"/>
            <w:hideMark/>
          </w:tcPr>
          <w:p w14:paraId="0CC98EC7" w14:textId="77777777" w:rsidR="008A1149" w:rsidRPr="00E6362D" w:rsidRDefault="008A1149" w:rsidP="00AB1DC6">
            <w:pPr>
              <w:spacing w:after="0" w:line="240" w:lineRule="auto"/>
              <w:rPr>
                <w:rFonts w:ascii="Arial" w:eastAsia="Times New Roman" w:hAnsi="Arial" w:cs="Arial"/>
                <w:color w:val="000000"/>
                <w:sz w:val="20"/>
                <w:szCs w:val="20"/>
                <w:lang w:eastAsia="en-GB"/>
              </w:rPr>
            </w:pPr>
            <w:r w:rsidRPr="00E6362D">
              <w:rPr>
                <w:rFonts w:ascii="Arial" w:eastAsia="Times New Roman" w:hAnsi="Arial" w:cs="Arial"/>
                <w:color w:val="000000"/>
                <w:sz w:val="20"/>
                <w:szCs w:val="20"/>
                <w:lang w:eastAsia="en-GB"/>
              </w:rPr>
              <w:t>Increase</w:t>
            </w:r>
            <w:r>
              <w:rPr>
                <w:rFonts w:ascii="Arial" w:eastAsia="Times New Roman" w:hAnsi="Arial" w:cs="Arial"/>
                <w:color w:val="000000"/>
                <w:sz w:val="20"/>
                <w:szCs w:val="20"/>
                <w:lang w:eastAsia="en-GB"/>
              </w:rPr>
              <w:t xml:space="preserve"> </w:t>
            </w:r>
            <w:r w:rsidRPr="00E6362D">
              <w:rPr>
                <w:rFonts w:ascii="Arial" w:eastAsia="Times New Roman" w:hAnsi="Arial" w:cs="Arial"/>
                <w:color w:val="000000"/>
                <w:sz w:val="20"/>
                <w:szCs w:val="20"/>
                <w:lang w:eastAsia="en-GB"/>
              </w:rPr>
              <w:t>in trade and other payables</w:t>
            </w:r>
          </w:p>
        </w:tc>
        <w:tc>
          <w:tcPr>
            <w:tcW w:w="1531" w:type="dxa"/>
            <w:tcBorders>
              <w:bottom w:val="single" w:sz="4" w:space="0" w:color="auto"/>
            </w:tcBorders>
            <w:shd w:val="clear" w:color="auto" w:fill="auto"/>
            <w:vAlign w:val="bottom"/>
          </w:tcPr>
          <w:p w14:paraId="2B77157A" w14:textId="51FDAC73" w:rsidR="008A1149" w:rsidRPr="00625A6D" w:rsidRDefault="004F6977"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w:t>
            </w:r>
            <w:r w:rsidR="000E5830">
              <w:rPr>
                <w:rFonts w:ascii="Arial" w:eastAsia="Times New Roman" w:hAnsi="Arial" w:cs="Arial"/>
                <w:b/>
                <w:bCs/>
                <w:color w:val="000000"/>
                <w:sz w:val="20"/>
                <w:szCs w:val="20"/>
                <w:lang w:eastAsia="en-GB"/>
              </w:rPr>
              <w:t>1</w:t>
            </w:r>
            <w:r>
              <w:rPr>
                <w:rFonts w:ascii="Arial" w:eastAsia="Times New Roman" w:hAnsi="Arial" w:cs="Arial"/>
                <w:b/>
                <w:bCs/>
                <w:color w:val="000000"/>
                <w:sz w:val="20"/>
                <w:szCs w:val="20"/>
                <w:lang w:eastAsia="en-GB"/>
              </w:rPr>
              <w:t>)</w:t>
            </w:r>
          </w:p>
        </w:tc>
        <w:tc>
          <w:tcPr>
            <w:tcW w:w="1640" w:type="dxa"/>
            <w:tcBorders>
              <w:bottom w:val="single" w:sz="4" w:space="0" w:color="auto"/>
            </w:tcBorders>
            <w:vAlign w:val="bottom"/>
          </w:tcPr>
          <w:p w14:paraId="127FB11B" w14:textId="77777777" w:rsidR="008A1149" w:rsidRPr="00E6362D" w:rsidRDefault="008A1149" w:rsidP="00AB1DC6">
            <w:pPr>
              <w:spacing w:after="0" w:line="240" w:lineRule="auto"/>
              <w:jc w:val="right"/>
              <w:rPr>
                <w:rFonts w:ascii="Arial" w:hAnsi="Arial" w:cs="Arial"/>
                <w:sz w:val="20"/>
                <w:szCs w:val="20"/>
              </w:rPr>
            </w:pPr>
            <w:r>
              <w:rPr>
                <w:rFonts w:ascii="Arial" w:hAnsi="Arial" w:cs="Arial"/>
                <w:sz w:val="20"/>
                <w:szCs w:val="20"/>
              </w:rPr>
              <w:t>5.3</w:t>
            </w:r>
          </w:p>
        </w:tc>
      </w:tr>
      <w:tr w:rsidR="008A1149" w:rsidRPr="004D7811" w14:paraId="378EC183" w14:textId="77777777" w:rsidTr="00AB1DC6">
        <w:trPr>
          <w:trHeight w:val="283"/>
        </w:trPr>
        <w:tc>
          <w:tcPr>
            <w:tcW w:w="6690" w:type="dxa"/>
            <w:tcBorders>
              <w:top w:val="single" w:sz="4" w:space="0" w:color="auto"/>
              <w:bottom w:val="double" w:sz="4" w:space="0" w:color="auto"/>
            </w:tcBorders>
            <w:shd w:val="clear" w:color="auto" w:fill="auto"/>
            <w:noWrap/>
            <w:vAlign w:val="center"/>
            <w:hideMark/>
          </w:tcPr>
          <w:p w14:paraId="47875D6A" w14:textId="6A691446" w:rsidR="008A1149" w:rsidRPr="00E6362D" w:rsidRDefault="0047354F" w:rsidP="00AB1DC6">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w:t>
            </w:r>
            <w:r w:rsidR="00742B10" w:rsidRPr="00742B10">
              <w:rPr>
                <w:rFonts w:ascii="Arial" w:eastAsia="Times New Roman" w:hAnsi="Arial" w:cs="Arial"/>
                <w:b/>
                <w:bCs/>
                <w:color w:val="000000"/>
                <w:sz w:val="20"/>
                <w:szCs w:val="20"/>
                <w:lang w:eastAsia="en-GB"/>
              </w:rPr>
              <w:t xml:space="preserve">ash generated from </w:t>
            </w:r>
            <w:r w:rsidR="000E5830">
              <w:rPr>
                <w:rFonts w:ascii="Arial" w:eastAsia="Times New Roman" w:hAnsi="Arial" w:cs="Arial"/>
                <w:b/>
                <w:bCs/>
                <w:color w:val="000000"/>
                <w:sz w:val="20"/>
                <w:szCs w:val="20"/>
                <w:lang w:eastAsia="en-GB"/>
              </w:rPr>
              <w:t>operations</w:t>
            </w:r>
          </w:p>
        </w:tc>
        <w:tc>
          <w:tcPr>
            <w:tcW w:w="1531" w:type="dxa"/>
            <w:tcBorders>
              <w:top w:val="single" w:sz="4" w:space="0" w:color="auto"/>
              <w:bottom w:val="double" w:sz="4" w:space="0" w:color="auto"/>
            </w:tcBorders>
            <w:shd w:val="clear" w:color="auto" w:fill="auto"/>
            <w:noWrap/>
            <w:vAlign w:val="bottom"/>
          </w:tcPr>
          <w:p w14:paraId="2F179289" w14:textId="77777777" w:rsidR="008A1149" w:rsidRPr="00E6362D" w:rsidRDefault="008A1149" w:rsidP="00AB1DC6">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57.8</w:t>
            </w:r>
          </w:p>
        </w:tc>
        <w:tc>
          <w:tcPr>
            <w:tcW w:w="1640" w:type="dxa"/>
            <w:tcBorders>
              <w:top w:val="single" w:sz="4" w:space="0" w:color="auto"/>
              <w:bottom w:val="double" w:sz="4" w:space="0" w:color="auto"/>
            </w:tcBorders>
            <w:vAlign w:val="bottom"/>
          </w:tcPr>
          <w:p w14:paraId="365D623E" w14:textId="77777777" w:rsidR="008A1149" w:rsidRPr="00625A6D" w:rsidRDefault="008A1149" w:rsidP="00AB1DC6">
            <w:pPr>
              <w:spacing w:after="0" w:line="240" w:lineRule="auto"/>
              <w:jc w:val="right"/>
              <w:rPr>
                <w:rFonts w:ascii="Arial" w:hAnsi="Arial" w:cs="Arial"/>
                <w:sz w:val="20"/>
                <w:szCs w:val="20"/>
              </w:rPr>
            </w:pPr>
            <w:r>
              <w:rPr>
                <w:rFonts w:ascii="Arial" w:hAnsi="Arial" w:cs="Arial"/>
                <w:sz w:val="20"/>
                <w:szCs w:val="20"/>
              </w:rPr>
              <w:t>50.5</w:t>
            </w:r>
          </w:p>
        </w:tc>
      </w:tr>
      <w:bookmarkEnd w:id="17"/>
    </w:tbl>
    <w:p w14:paraId="63ADEEA9" w14:textId="77777777" w:rsidR="00B90303" w:rsidRDefault="00B90303" w:rsidP="00B90303">
      <w:pPr>
        <w:spacing w:after="0"/>
        <w:jc w:val="both"/>
        <w:rPr>
          <w:rFonts w:ascii="Arial" w:hAnsi="Arial" w:cs="Arial"/>
          <w:sz w:val="20"/>
          <w:szCs w:val="20"/>
        </w:rPr>
      </w:pPr>
    </w:p>
    <w:p w14:paraId="589BC25C" w14:textId="2FE251E6" w:rsidR="00B90303" w:rsidRDefault="00745337" w:rsidP="00B90303">
      <w:pPr>
        <w:spacing w:after="0"/>
        <w:jc w:val="both"/>
        <w:rPr>
          <w:rFonts w:ascii="Arial" w:hAnsi="Arial" w:cs="Arial"/>
          <w:b/>
          <w:bCs/>
          <w:sz w:val="20"/>
          <w:szCs w:val="20"/>
        </w:rPr>
      </w:pPr>
      <w:r>
        <w:rPr>
          <w:rFonts w:ascii="Arial" w:hAnsi="Arial" w:cs="Arial"/>
          <w:b/>
          <w:bCs/>
          <w:sz w:val="20"/>
          <w:szCs w:val="20"/>
        </w:rPr>
        <w:t>1</w:t>
      </w:r>
      <w:r w:rsidR="00FE6936">
        <w:rPr>
          <w:rFonts w:ascii="Arial" w:hAnsi="Arial" w:cs="Arial"/>
          <w:b/>
          <w:bCs/>
          <w:sz w:val="20"/>
          <w:szCs w:val="20"/>
        </w:rPr>
        <w:t>4</w:t>
      </w:r>
      <w:r w:rsidR="00B90303" w:rsidRPr="00850F26">
        <w:rPr>
          <w:rFonts w:ascii="Arial" w:hAnsi="Arial" w:cs="Arial"/>
          <w:b/>
          <w:bCs/>
          <w:sz w:val="20"/>
          <w:szCs w:val="20"/>
        </w:rPr>
        <w:t>. Related party transactions</w:t>
      </w:r>
    </w:p>
    <w:p w14:paraId="17399964" w14:textId="2DA2C676" w:rsidR="00B90303" w:rsidRPr="00745337" w:rsidRDefault="00B90303" w:rsidP="00B90303">
      <w:pPr>
        <w:rPr>
          <w:rFonts w:ascii="Arial" w:hAnsi="Arial" w:cs="Arial"/>
          <w:sz w:val="20"/>
          <w:szCs w:val="20"/>
        </w:rPr>
      </w:pPr>
      <w:r w:rsidRPr="00A72E2F">
        <w:rPr>
          <w:rFonts w:ascii="Arial" w:hAnsi="Arial" w:cs="Arial"/>
          <w:sz w:val="20"/>
          <w:szCs w:val="20"/>
        </w:rPr>
        <w:t xml:space="preserve">There were no related party transactions during the </w:t>
      </w:r>
      <w:r>
        <w:rPr>
          <w:rFonts w:ascii="Arial" w:hAnsi="Arial" w:cs="Arial"/>
          <w:sz w:val="20"/>
          <w:szCs w:val="20"/>
        </w:rPr>
        <w:t xml:space="preserve">current or prior </w:t>
      </w:r>
      <w:r w:rsidRPr="00A72E2F">
        <w:rPr>
          <w:rFonts w:ascii="Arial" w:hAnsi="Arial" w:cs="Arial"/>
          <w:sz w:val="20"/>
          <w:szCs w:val="20"/>
        </w:rPr>
        <w:t>period</w:t>
      </w:r>
      <w:r>
        <w:rPr>
          <w:rFonts w:ascii="Arial" w:hAnsi="Arial" w:cs="Arial"/>
          <w:sz w:val="20"/>
          <w:szCs w:val="20"/>
        </w:rPr>
        <w:t>.</w:t>
      </w:r>
    </w:p>
    <w:p w14:paraId="17BE54EB" w14:textId="1C475798" w:rsidR="00B90303" w:rsidRDefault="00745337" w:rsidP="00B90303">
      <w:pPr>
        <w:rPr>
          <w:rFonts w:ascii="Arial" w:hAnsi="Arial" w:cs="Arial"/>
          <w:b/>
          <w:bCs/>
          <w:sz w:val="20"/>
          <w:szCs w:val="20"/>
        </w:rPr>
      </w:pPr>
      <w:r>
        <w:rPr>
          <w:rFonts w:ascii="Arial" w:hAnsi="Arial" w:cs="Arial"/>
          <w:b/>
          <w:bCs/>
          <w:sz w:val="20"/>
          <w:szCs w:val="20"/>
        </w:rPr>
        <w:t>1</w:t>
      </w:r>
      <w:r w:rsidR="00FE6936">
        <w:rPr>
          <w:rFonts w:ascii="Arial" w:hAnsi="Arial" w:cs="Arial"/>
          <w:b/>
          <w:bCs/>
          <w:sz w:val="20"/>
          <w:szCs w:val="20"/>
        </w:rPr>
        <w:t>5</w:t>
      </w:r>
      <w:r w:rsidR="00B90303" w:rsidRPr="00A72E2F">
        <w:rPr>
          <w:rFonts w:ascii="Arial" w:hAnsi="Arial" w:cs="Arial"/>
          <w:b/>
          <w:bCs/>
          <w:sz w:val="20"/>
          <w:szCs w:val="20"/>
        </w:rPr>
        <w:t>. Post balance sheet events</w:t>
      </w:r>
    </w:p>
    <w:p w14:paraId="2FEC11C9" w14:textId="56911FC5" w:rsidR="008A1149" w:rsidRPr="00615E6C" w:rsidRDefault="008A1149" w:rsidP="008A1149">
      <w:pPr>
        <w:spacing w:after="0"/>
        <w:jc w:val="both"/>
        <w:rPr>
          <w:rFonts w:ascii="Arial" w:hAnsi="Arial" w:cs="Arial"/>
          <w:sz w:val="20"/>
          <w:szCs w:val="20"/>
        </w:rPr>
      </w:pPr>
      <w:r w:rsidRPr="00372825">
        <w:rPr>
          <w:rFonts w:ascii="Arial" w:hAnsi="Arial" w:cs="Arial"/>
          <w:b/>
          <w:bCs/>
          <w:sz w:val="20"/>
          <w:szCs w:val="20"/>
        </w:rPr>
        <w:t>Disposal of certain GRC Software &amp; Service Assets</w:t>
      </w:r>
    </w:p>
    <w:p w14:paraId="0E731993" w14:textId="77777777" w:rsidR="008A1149" w:rsidRPr="00615E6C" w:rsidRDefault="008A1149" w:rsidP="008A1149">
      <w:pPr>
        <w:spacing w:after="0"/>
        <w:jc w:val="both"/>
        <w:rPr>
          <w:rFonts w:ascii="Arial" w:hAnsi="Arial" w:cs="Arial"/>
          <w:sz w:val="20"/>
          <w:szCs w:val="20"/>
        </w:rPr>
      </w:pPr>
      <w:r w:rsidRPr="00615E6C">
        <w:rPr>
          <w:rFonts w:ascii="Arial" w:hAnsi="Arial" w:cs="Arial"/>
          <w:sz w:val="20"/>
          <w:szCs w:val="20"/>
        </w:rPr>
        <w:t>On the 3 June 2024, the Group announced the completion of the sale of certain GRC Software &amp; Service Assets (“The Divestment”) for an Enterprise value of £43</w:t>
      </w:r>
      <w:r>
        <w:rPr>
          <w:rFonts w:ascii="Arial" w:hAnsi="Arial" w:cs="Arial"/>
          <w:sz w:val="20"/>
          <w:szCs w:val="20"/>
        </w:rPr>
        <w:t>0m</w:t>
      </w:r>
      <w:r w:rsidRPr="00615E6C">
        <w:rPr>
          <w:rFonts w:ascii="Arial" w:hAnsi="Arial" w:cs="Arial"/>
          <w:sz w:val="20"/>
          <w:szCs w:val="20"/>
        </w:rPr>
        <w:t>.</w:t>
      </w:r>
    </w:p>
    <w:p w14:paraId="70A8CFCD" w14:textId="77777777" w:rsidR="008A1149" w:rsidRPr="00615E6C" w:rsidRDefault="008A1149" w:rsidP="008A1149">
      <w:pPr>
        <w:spacing w:after="0"/>
        <w:jc w:val="both"/>
        <w:rPr>
          <w:rFonts w:ascii="Arial" w:hAnsi="Arial" w:cs="Arial"/>
          <w:sz w:val="20"/>
          <w:szCs w:val="20"/>
        </w:rPr>
      </w:pPr>
      <w:r w:rsidRPr="00615E6C">
        <w:rPr>
          <w:rFonts w:ascii="Arial" w:hAnsi="Arial" w:cs="Arial"/>
          <w:sz w:val="20"/>
          <w:szCs w:val="20"/>
        </w:rPr>
        <w:t xml:space="preserve">  </w:t>
      </w:r>
    </w:p>
    <w:p w14:paraId="1738DC8B" w14:textId="77777777" w:rsidR="008A1149" w:rsidRPr="00372825" w:rsidRDefault="008A1149" w:rsidP="008A1149">
      <w:pPr>
        <w:spacing w:after="0"/>
        <w:jc w:val="both"/>
        <w:rPr>
          <w:rFonts w:ascii="Arial" w:hAnsi="Arial" w:cs="Arial"/>
          <w:b/>
          <w:bCs/>
          <w:sz w:val="20"/>
          <w:szCs w:val="20"/>
        </w:rPr>
      </w:pPr>
      <w:r w:rsidRPr="00372825">
        <w:rPr>
          <w:rFonts w:ascii="Arial" w:hAnsi="Arial" w:cs="Arial"/>
          <w:b/>
          <w:bCs/>
          <w:sz w:val="20"/>
          <w:szCs w:val="20"/>
        </w:rPr>
        <w:t>Return of capital</w:t>
      </w:r>
    </w:p>
    <w:p w14:paraId="33A2F067" w14:textId="77777777" w:rsidR="009F143F" w:rsidRDefault="008A1149" w:rsidP="008A1149">
      <w:pPr>
        <w:spacing w:after="0"/>
        <w:jc w:val="both"/>
        <w:rPr>
          <w:rFonts w:ascii="Arial" w:hAnsi="Arial" w:cs="Arial"/>
          <w:sz w:val="20"/>
          <w:szCs w:val="20"/>
        </w:rPr>
      </w:pPr>
      <w:r w:rsidRPr="00615E6C">
        <w:rPr>
          <w:rFonts w:ascii="Arial" w:hAnsi="Arial" w:cs="Arial"/>
          <w:sz w:val="20"/>
          <w:szCs w:val="20"/>
        </w:rPr>
        <w:t>On the 5 July 2024 and following receipt of the cash proceeds of the Divestment, the Group paid a special dividend of £1.55 per Marlowe ordinary share equating to £150.</w:t>
      </w:r>
      <w:r>
        <w:rPr>
          <w:rFonts w:ascii="Arial" w:hAnsi="Arial" w:cs="Arial"/>
          <w:sz w:val="20"/>
          <w:szCs w:val="20"/>
        </w:rPr>
        <w:t>3m</w:t>
      </w:r>
      <w:r w:rsidRPr="00615E6C">
        <w:rPr>
          <w:rFonts w:ascii="Arial" w:hAnsi="Arial" w:cs="Arial"/>
          <w:sz w:val="20"/>
          <w:szCs w:val="20"/>
        </w:rPr>
        <w:t>.  Additionally, the Group commenced a share buyback programme on the 5 July 2024, to return up to £75</w:t>
      </w:r>
      <w:r>
        <w:rPr>
          <w:rFonts w:ascii="Arial" w:hAnsi="Arial" w:cs="Arial"/>
          <w:sz w:val="20"/>
          <w:szCs w:val="20"/>
        </w:rPr>
        <w:t>m</w:t>
      </w:r>
      <w:r w:rsidRPr="00615E6C">
        <w:rPr>
          <w:rFonts w:ascii="Arial" w:hAnsi="Arial" w:cs="Arial"/>
          <w:sz w:val="20"/>
          <w:szCs w:val="20"/>
        </w:rPr>
        <w:t xml:space="preserve"> to Marlowe shareholders (“Buyback Pr</w:t>
      </w:r>
      <w:r w:rsidR="009F143F">
        <w:rPr>
          <w:rFonts w:ascii="Arial" w:hAnsi="Arial" w:cs="Arial"/>
          <w:sz w:val="20"/>
          <w:szCs w:val="20"/>
        </w:rPr>
        <w:t>o</w:t>
      </w:r>
      <w:r w:rsidRPr="00615E6C">
        <w:rPr>
          <w:rFonts w:ascii="Arial" w:hAnsi="Arial" w:cs="Arial"/>
          <w:sz w:val="20"/>
          <w:szCs w:val="20"/>
        </w:rPr>
        <w:t>gramme”). The terms of the Buyback Programme were announced by the Company on 22 May 2024.</w:t>
      </w:r>
    </w:p>
    <w:p w14:paraId="5C6C259B" w14:textId="77777777" w:rsidR="009F143F" w:rsidRDefault="009F143F" w:rsidP="008A1149">
      <w:pPr>
        <w:spacing w:after="0"/>
        <w:jc w:val="both"/>
        <w:rPr>
          <w:rFonts w:ascii="Arial" w:hAnsi="Arial" w:cs="Arial"/>
          <w:sz w:val="20"/>
          <w:szCs w:val="20"/>
        </w:rPr>
      </w:pPr>
    </w:p>
    <w:p w14:paraId="5DDF8BB5" w14:textId="3AA34249" w:rsidR="005E386C" w:rsidRPr="005E386C" w:rsidRDefault="005E386C" w:rsidP="008A1149">
      <w:pPr>
        <w:spacing w:after="0"/>
        <w:jc w:val="both"/>
        <w:rPr>
          <w:rFonts w:ascii="Arial" w:hAnsi="Arial" w:cs="Arial"/>
          <w:sz w:val="20"/>
          <w:szCs w:val="20"/>
        </w:rPr>
      </w:pPr>
      <w:r>
        <w:rPr>
          <w:rFonts w:ascii="Arial" w:hAnsi="Arial" w:cs="Arial"/>
          <w:sz w:val="20"/>
          <w:szCs w:val="20"/>
        </w:rPr>
        <w:t xml:space="preserve">As at the </w:t>
      </w:r>
      <w:r w:rsidR="004F6977">
        <w:rPr>
          <w:rFonts w:ascii="Arial" w:hAnsi="Arial" w:cs="Arial"/>
          <w:sz w:val="20"/>
          <w:szCs w:val="20"/>
        </w:rPr>
        <w:t>19</w:t>
      </w:r>
      <w:r>
        <w:rPr>
          <w:rFonts w:ascii="Arial" w:hAnsi="Arial" w:cs="Arial"/>
          <w:sz w:val="20"/>
          <w:szCs w:val="20"/>
        </w:rPr>
        <w:t xml:space="preserve"> Ju</w:t>
      </w:r>
      <w:r w:rsidR="00185954">
        <w:rPr>
          <w:rFonts w:ascii="Arial" w:hAnsi="Arial" w:cs="Arial"/>
          <w:sz w:val="20"/>
          <w:szCs w:val="20"/>
        </w:rPr>
        <w:t>ly</w:t>
      </w:r>
      <w:r>
        <w:rPr>
          <w:rFonts w:ascii="Arial" w:hAnsi="Arial" w:cs="Arial"/>
          <w:sz w:val="20"/>
          <w:szCs w:val="20"/>
        </w:rPr>
        <w:t xml:space="preserve"> 2024, the Group</w:t>
      </w:r>
      <w:r w:rsidR="009F143F">
        <w:rPr>
          <w:rFonts w:ascii="Arial" w:hAnsi="Arial" w:cs="Arial"/>
          <w:sz w:val="20"/>
          <w:szCs w:val="20"/>
        </w:rPr>
        <w:t xml:space="preserve">, as part of the Buyback Programme, </w:t>
      </w:r>
      <w:r>
        <w:rPr>
          <w:rFonts w:ascii="Arial" w:hAnsi="Arial" w:cs="Arial"/>
          <w:sz w:val="20"/>
          <w:szCs w:val="20"/>
        </w:rPr>
        <w:t xml:space="preserve">has bought </w:t>
      </w:r>
      <w:r w:rsidR="004F6977">
        <w:rPr>
          <w:rFonts w:ascii="Arial" w:hAnsi="Arial" w:cs="Arial"/>
          <w:sz w:val="20"/>
          <w:szCs w:val="20"/>
        </w:rPr>
        <w:t>7,364,035</w:t>
      </w:r>
      <w:r>
        <w:rPr>
          <w:rFonts w:ascii="Arial" w:hAnsi="Arial" w:cs="Arial"/>
          <w:sz w:val="20"/>
          <w:szCs w:val="20"/>
        </w:rPr>
        <w:t xml:space="preserve"> ordinary shares </w:t>
      </w:r>
      <w:r w:rsidR="009F143F">
        <w:rPr>
          <w:rFonts w:ascii="Arial" w:hAnsi="Arial" w:cs="Arial"/>
          <w:sz w:val="20"/>
          <w:szCs w:val="20"/>
        </w:rPr>
        <w:t xml:space="preserve">of </w:t>
      </w:r>
      <w:r>
        <w:rPr>
          <w:rFonts w:ascii="Arial" w:hAnsi="Arial" w:cs="Arial"/>
          <w:sz w:val="20"/>
          <w:szCs w:val="20"/>
        </w:rPr>
        <w:t xml:space="preserve">50 pence each in the </w:t>
      </w:r>
      <w:r w:rsidR="009F143F">
        <w:rPr>
          <w:rFonts w:ascii="Arial" w:hAnsi="Arial" w:cs="Arial"/>
          <w:sz w:val="20"/>
          <w:szCs w:val="20"/>
        </w:rPr>
        <w:t>c</w:t>
      </w:r>
      <w:r>
        <w:rPr>
          <w:rFonts w:ascii="Arial" w:hAnsi="Arial" w:cs="Arial"/>
          <w:sz w:val="20"/>
          <w:szCs w:val="20"/>
        </w:rPr>
        <w:t xml:space="preserve">apital of the Company for a weighted average price of </w:t>
      </w:r>
      <w:r w:rsidR="004F6977">
        <w:rPr>
          <w:rFonts w:ascii="Arial" w:hAnsi="Arial" w:cs="Arial"/>
          <w:sz w:val="20"/>
          <w:szCs w:val="20"/>
        </w:rPr>
        <w:t>458.16</w:t>
      </w:r>
      <w:r>
        <w:rPr>
          <w:rFonts w:ascii="Arial" w:hAnsi="Arial" w:cs="Arial"/>
          <w:sz w:val="20"/>
          <w:szCs w:val="20"/>
        </w:rPr>
        <w:t xml:space="preserve"> pence for a total price of £</w:t>
      </w:r>
      <w:r w:rsidR="004F6977">
        <w:rPr>
          <w:rFonts w:ascii="Arial" w:hAnsi="Arial" w:cs="Arial"/>
          <w:sz w:val="20"/>
          <w:szCs w:val="20"/>
        </w:rPr>
        <w:t>30.9</w:t>
      </w:r>
      <w:r>
        <w:rPr>
          <w:rFonts w:ascii="Arial" w:hAnsi="Arial" w:cs="Arial"/>
          <w:sz w:val="20"/>
          <w:szCs w:val="20"/>
        </w:rPr>
        <w:t xml:space="preserve"> million. The shares acquired will, in due course, be cancelled. </w:t>
      </w:r>
    </w:p>
    <w:p w14:paraId="37BD89F5" w14:textId="0848A6B4" w:rsidR="005E386C" w:rsidRPr="00CC19D9" w:rsidRDefault="005E386C" w:rsidP="008A1149">
      <w:pPr>
        <w:spacing w:after="0"/>
        <w:jc w:val="both"/>
        <w:rPr>
          <w:rFonts w:ascii="Arial" w:hAnsi="Arial" w:cs="Arial"/>
          <w:b/>
          <w:bCs/>
          <w:sz w:val="20"/>
          <w:szCs w:val="20"/>
        </w:rPr>
      </w:pPr>
    </w:p>
    <w:p w14:paraId="722E3D49" w14:textId="77777777" w:rsidR="00B90303" w:rsidRDefault="00B90303" w:rsidP="00B90303">
      <w:pPr>
        <w:rPr>
          <w:rFonts w:ascii="Arial" w:hAnsi="Arial" w:cs="Arial"/>
          <w:b/>
          <w:bCs/>
          <w:sz w:val="20"/>
          <w:szCs w:val="20"/>
        </w:rPr>
      </w:pPr>
    </w:p>
    <w:p w14:paraId="72F20078" w14:textId="77777777" w:rsidR="00B90303" w:rsidRDefault="00B90303" w:rsidP="00B90303">
      <w:pPr>
        <w:rPr>
          <w:rFonts w:ascii="Arial" w:hAnsi="Arial" w:cs="Arial"/>
          <w:b/>
          <w:bCs/>
          <w:sz w:val="20"/>
          <w:szCs w:val="20"/>
        </w:rPr>
      </w:pPr>
    </w:p>
    <w:p w14:paraId="4908EB9C" w14:textId="77777777" w:rsidR="00B90303" w:rsidRDefault="00B90303" w:rsidP="00B90303">
      <w:pPr>
        <w:rPr>
          <w:rFonts w:ascii="Arial" w:hAnsi="Arial" w:cs="Arial"/>
          <w:b/>
          <w:bCs/>
          <w:sz w:val="20"/>
          <w:szCs w:val="20"/>
        </w:rPr>
      </w:pPr>
    </w:p>
    <w:p w14:paraId="7643AECA" w14:textId="77777777" w:rsidR="00B90303" w:rsidRDefault="00B90303" w:rsidP="00B90303">
      <w:pPr>
        <w:rPr>
          <w:rFonts w:ascii="Arial" w:hAnsi="Arial" w:cs="Arial"/>
          <w:b/>
          <w:bCs/>
          <w:sz w:val="20"/>
          <w:szCs w:val="20"/>
        </w:rPr>
      </w:pPr>
    </w:p>
    <w:p w14:paraId="1D956389" w14:textId="77777777" w:rsidR="00B90303" w:rsidRDefault="00B90303" w:rsidP="00B90303">
      <w:pPr>
        <w:rPr>
          <w:rFonts w:ascii="Arial" w:hAnsi="Arial" w:cs="Arial"/>
          <w:b/>
          <w:bCs/>
          <w:sz w:val="20"/>
          <w:szCs w:val="20"/>
        </w:rPr>
      </w:pPr>
    </w:p>
    <w:p w14:paraId="071844D5" w14:textId="77777777" w:rsidR="00B90303" w:rsidRDefault="00B90303" w:rsidP="00B90303">
      <w:pPr>
        <w:rPr>
          <w:rFonts w:ascii="Arial" w:hAnsi="Arial" w:cs="Arial"/>
          <w:b/>
          <w:bCs/>
          <w:sz w:val="20"/>
          <w:szCs w:val="20"/>
        </w:rPr>
      </w:pPr>
    </w:p>
    <w:sectPr w:rsidR="00B90303" w:rsidSect="00FE430A">
      <w:headerReference w:type="default" r:id="rId12"/>
      <w:footerReference w:type="default" r:id="rId13"/>
      <w:head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0257" w14:textId="77777777" w:rsidR="00FA6760" w:rsidRDefault="00FA6760">
      <w:pPr>
        <w:spacing w:after="0" w:line="240" w:lineRule="auto"/>
      </w:pPr>
      <w:r>
        <w:separator/>
      </w:r>
    </w:p>
  </w:endnote>
  <w:endnote w:type="continuationSeparator" w:id="0">
    <w:p w14:paraId="34D66539" w14:textId="77777777" w:rsidR="00FA6760" w:rsidRDefault="00FA6760">
      <w:pPr>
        <w:spacing w:after="0" w:line="240" w:lineRule="auto"/>
      </w:pPr>
      <w:r>
        <w:continuationSeparator/>
      </w:r>
    </w:p>
  </w:endnote>
  <w:endnote w:type="continuationNotice" w:id="1">
    <w:p w14:paraId="3E776F9A" w14:textId="77777777" w:rsidR="00FA6760" w:rsidRDefault="00FA6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swiss"/>
    <w:pitch w:val="variable"/>
  </w:font>
  <w:font w:name="Avenir Book">
    <w:altName w:val="Tw Cen MT"/>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FE4E" w14:textId="77777777" w:rsidR="00C6061D" w:rsidRDefault="00C6061D" w:rsidP="00C6061D">
    <w:pPr>
      <w:pStyle w:val="Footer"/>
      <w:jc w:val="right"/>
      <w:rPr>
        <w:noProof/>
      </w:rPr>
    </w:pPr>
  </w:p>
  <w:p w14:paraId="3448D86C" w14:textId="77777777" w:rsidR="00C6061D" w:rsidRDefault="00C6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C1E47" w14:textId="77777777" w:rsidR="00FA6760" w:rsidRDefault="00FA6760">
      <w:pPr>
        <w:spacing w:after="0" w:line="240" w:lineRule="auto"/>
      </w:pPr>
      <w:r>
        <w:separator/>
      </w:r>
    </w:p>
  </w:footnote>
  <w:footnote w:type="continuationSeparator" w:id="0">
    <w:p w14:paraId="16AA848D" w14:textId="77777777" w:rsidR="00FA6760" w:rsidRDefault="00FA6760">
      <w:pPr>
        <w:spacing w:after="0" w:line="240" w:lineRule="auto"/>
      </w:pPr>
      <w:r>
        <w:continuationSeparator/>
      </w:r>
    </w:p>
  </w:footnote>
  <w:footnote w:type="continuationNotice" w:id="1">
    <w:p w14:paraId="276D4AA2" w14:textId="77777777" w:rsidR="00FA6760" w:rsidRDefault="00FA6760">
      <w:pPr>
        <w:spacing w:after="0" w:line="240" w:lineRule="auto"/>
      </w:pPr>
    </w:p>
  </w:footnote>
  <w:footnote w:id="2">
    <w:p w14:paraId="2C84625B" w14:textId="5A80B3EC" w:rsidR="00FF7027" w:rsidRPr="00F72BA1" w:rsidRDefault="00FF7027">
      <w:pPr>
        <w:pStyle w:val="FootnoteText"/>
        <w:rPr>
          <w:rFonts w:ascii="Arial" w:hAnsi="Arial" w:cs="Arial"/>
          <w:sz w:val="18"/>
          <w:szCs w:val="18"/>
        </w:rPr>
      </w:pPr>
      <w:r>
        <w:rPr>
          <w:rStyle w:val="FootnoteReference"/>
        </w:rPr>
        <w:footnoteRef/>
      </w:r>
      <w:r>
        <w:t xml:space="preserve"> </w:t>
      </w:r>
      <w:r w:rsidRPr="002D2661">
        <w:rPr>
          <w:rFonts w:ascii="Arial" w:hAnsi="Arial" w:cs="Arial"/>
          <w:sz w:val="18"/>
          <w:szCs w:val="18"/>
        </w:rPr>
        <w:t>Based on an adjusted prior year comparable of £</w:t>
      </w:r>
      <w:r>
        <w:rPr>
          <w:rFonts w:ascii="Arial" w:hAnsi="Arial" w:cs="Arial"/>
          <w:sz w:val="18"/>
          <w:szCs w:val="18"/>
        </w:rPr>
        <w:t>397.4</w:t>
      </w:r>
      <w:r w:rsidRPr="002D2661">
        <w:rPr>
          <w:rFonts w:ascii="Arial" w:hAnsi="Arial" w:cs="Arial"/>
          <w:sz w:val="18"/>
          <w:szCs w:val="18"/>
        </w:rPr>
        <w:t>m which includes performance of acquisition made in year</w:t>
      </w:r>
    </w:p>
  </w:footnote>
  <w:footnote w:id="3">
    <w:p w14:paraId="66D00E2F" w14:textId="4F18E85D" w:rsidR="00154A12" w:rsidRPr="00F72BA1" w:rsidRDefault="00154A12">
      <w:pPr>
        <w:pStyle w:val="FootnoteText"/>
        <w:rPr>
          <w:rFonts w:ascii="Arial" w:hAnsi="Arial" w:cs="Arial"/>
          <w:sz w:val="18"/>
          <w:szCs w:val="18"/>
        </w:rPr>
      </w:pPr>
      <w:r>
        <w:rPr>
          <w:rStyle w:val="FootnoteReference"/>
        </w:rPr>
        <w:footnoteRef/>
      </w:r>
      <w:r>
        <w:t xml:space="preserve"> </w:t>
      </w:r>
      <w:r w:rsidRPr="00F72BA1">
        <w:rPr>
          <w:rFonts w:ascii="Arial" w:hAnsi="Arial" w:cs="Arial"/>
          <w:sz w:val="18"/>
          <w:szCs w:val="18"/>
        </w:rPr>
        <w:t>Based on an adjusted prior year comparable of £282.4m which includes performance of acquisition made in year</w:t>
      </w:r>
    </w:p>
  </w:footnote>
  <w:footnote w:id="4">
    <w:p w14:paraId="3979719C" w14:textId="56FCD91C" w:rsidR="00305634" w:rsidRDefault="00305634">
      <w:pPr>
        <w:pStyle w:val="FootnoteText"/>
      </w:pPr>
      <w:r>
        <w:rPr>
          <w:rStyle w:val="FootnoteReference"/>
        </w:rPr>
        <w:footnoteRef/>
      </w:r>
      <w:r>
        <w:t xml:space="preserve"> </w:t>
      </w:r>
      <w:r w:rsidRPr="00D8043F">
        <w:rPr>
          <w:rFonts w:ascii="Arial" w:hAnsi="Arial" w:cs="Arial"/>
          <w:sz w:val="18"/>
          <w:szCs w:val="18"/>
        </w:rPr>
        <w:t>Based on enterprise value of £</w:t>
      </w:r>
      <w:r w:rsidR="000F2769">
        <w:rPr>
          <w:rFonts w:ascii="Arial" w:hAnsi="Arial" w:cs="Arial"/>
          <w:sz w:val="18"/>
          <w:szCs w:val="18"/>
        </w:rPr>
        <w:t>1</w:t>
      </w:r>
      <w:r w:rsidR="004D6EB1">
        <w:rPr>
          <w:rFonts w:ascii="Arial" w:hAnsi="Arial" w:cs="Arial"/>
          <w:sz w:val="18"/>
          <w:szCs w:val="18"/>
        </w:rPr>
        <w:t>6</w:t>
      </w:r>
      <w:r w:rsidR="00CF2206">
        <w:rPr>
          <w:rFonts w:ascii="Arial" w:hAnsi="Arial" w:cs="Arial"/>
          <w:sz w:val="18"/>
          <w:szCs w:val="18"/>
        </w:rPr>
        <w:t>.3</w:t>
      </w:r>
      <w:r w:rsidR="00C51267">
        <w:rPr>
          <w:rFonts w:ascii="Arial" w:hAnsi="Arial" w:cs="Arial"/>
          <w:sz w:val="18"/>
          <w:szCs w:val="18"/>
        </w:rPr>
        <w:t xml:space="preserve"> million and excludes the recently disposed of acquisition of IMSM made within the year</w:t>
      </w:r>
    </w:p>
  </w:footnote>
  <w:footnote w:id="5">
    <w:p w14:paraId="0FE5C99C" w14:textId="15B42A45" w:rsidR="00291166" w:rsidRDefault="00291166">
      <w:pPr>
        <w:pStyle w:val="FootnoteText"/>
      </w:pPr>
      <w:r>
        <w:rPr>
          <w:rStyle w:val="FootnoteReference"/>
        </w:rPr>
        <w:footnoteRef/>
      </w:r>
      <w:r>
        <w:t xml:space="preserve"> </w:t>
      </w:r>
      <w:r w:rsidRPr="00E65710">
        <w:t>Passive fire protection is a barrier or shield, stopping the spread of fire from one area to another</w:t>
      </w:r>
    </w:p>
  </w:footnote>
  <w:footnote w:id="6">
    <w:p w14:paraId="31C1AD90" w14:textId="77777777" w:rsidR="000F620F" w:rsidRDefault="000F620F" w:rsidP="000F620F">
      <w:pPr>
        <w:pStyle w:val="FootnoteText"/>
      </w:pPr>
      <w:r>
        <w:rPr>
          <w:rStyle w:val="FootnoteReference"/>
        </w:rPr>
        <w:footnoteRef/>
      </w:r>
      <w:r>
        <w:t xml:space="preserve"> Inspection and remedial work completed within deadline or deadline +45 days. </w:t>
      </w:r>
    </w:p>
  </w:footnote>
  <w:footnote w:id="7">
    <w:p w14:paraId="78EB2320" w14:textId="77777777" w:rsidR="007A42A4" w:rsidRDefault="007A42A4" w:rsidP="007A42A4">
      <w:pPr>
        <w:pStyle w:val="FootnoteText"/>
      </w:pPr>
      <w:r>
        <w:rPr>
          <w:rStyle w:val="FootnoteReference"/>
        </w:rPr>
        <w:footnoteRef/>
      </w:r>
      <w:r>
        <w:t xml:space="preserve"> Based on number of customers in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01AE" w14:textId="663009A0" w:rsidR="00C6061D" w:rsidRDefault="001D0672">
    <w:pPr>
      <w:pStyle w:val="Header"/>
      <w:jc w:val="right"/>
    </w:pPr>
    <w:r>
      <w:rPr>
        <w:noProof/>
      </w:rPr>
      <mc:AlternateContent>
        <mc:Choice Requires="wps">
          <w:drawing>
            <wp:anchor distT="0" distB="0" distL="114300" distR="114300" simplePos="0" relativeHeight="251658240" behindDoc="0" locked="0" layoutInCell="0" allowOverlap="1" wp14:anchorId="71CBD747" wp14:editId="005B90BE">
              <wp:simplePos x="0" y="0"/>
              <wp:positionH relativeFrom="page">
                <wp:posOffset>0</wp:posOffset>
              </wp:positionH>
              <wp:positionV relativeFrom="page">
                <wp:posOffset>190500</wp:posOffset>
              </wp:positionV>
              <wp:extent cx="7560310" cy="252095"/>
              <wp:effectExtent l="0" t="0" r="0" b="0"/>
              <wp:wrapNone/>
              <wp:docPr id="15117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600D3E02" w14:textId="51EF5867" w:rsidR="00EF6AEE" w:rsidRPr="00EF6AEE" w:rsidRDefault="00EF6AEE" w:rsidP="00EF6AEE">
                          <w:pPr>
                            <w:spacing w:after="0"/>
                            <w:jc w:val="right"/>
                            <w:rPr>
                              <w:rFonts w:ascii="Arial" w:hAnsi="Arial" w:cs="Arial"/>
                              <w:color w:val="000000"/>
                              <w:sz w:val="16"/>
                            </w:rPr>
                          </w:pPr>
                          <w:r w:rsidRPr="00EF6AEE">
                            <w:rPr>
                              <w:rFonts w:ascii="Arial" w:hAnsi="Arial" w:cs="Arial"/>
                              <w:color w:val="000000"/>
                              <w:sz w:val="16"/>
                            </w:rPr>
                            <w:t>Commercial in confidence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CBD747" id="_x0000_t202" coordsize="21600,21600" o:spt="202" path="m,l,21600r21600,l21600,xe">
              <v:stroke joinstyle="miter"/>
              <v:path gradientshapeok="t" o:connecttype="rect"/>
            </v:shapetype>
            <v:shape id="Text Box 2" o:spid="_x0000_s1026" type="#_x0000_t202" style="position:absolute;left:0;text-align:left;margin-left:0;margin-top:15pt;width:595.3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" o:allowincell="f" filled="f" stroked="f" strokeweight=".5pt">
              <v:textbox inset=",0,20pt,0">
                <w:txbxContent>
                  <w:p w14:paraId="600D3E02" w14:textId="51EF5867" w:rsidR="00EF6AEE" w:rsidRPr="00EF6AEE" w:rsidRDefault="00EF6AEE" w:rsidP="00EF6AEE">
                    <w:pPr>
                      <w:spacing w:after="0"/>
                      <w:jc w:val="right"/>
                      <w:rPr>
                        <w:rFonts w:ascii="Arial" w:hAnsi="Arial" w:cs="Arial"/>
                        <w:color w:val="000000"/>
                        <w:sz w:val="16"/>
                      </w:rPr>
                    </w:pPr>
                    <w:r w:rsidRPr="00EF6AEE">
                      <w:rPr>
                        <w:rFonts w:ascii="Arial" w:hAnsi="Arial" w:cs="Arial"/>
                        <w:color w:val="000000"/>
                        <w:sz w:val="16"/>
                      </w:rPr>
                      <w:t>Commercial in confidence</w:t>
                    </w:r>
                  </w:p>
                </w:txbxContent>
              </v:textbox>
              <w10:wrap anchorx="page" anchory="page"/>
            </v:shape>
          </w:pict>
        </mc:Fallback>
      </mc:AlternateContent>
    </w:r>
    <w:r w:rsidR="00CD7325" w:rsidRPr="00614E88">
      <w:rPr>
        <w:rFonts w:ascii="Arial" w:hAnsi="Arial" w:cs="Arial"/>
        <w:color w:val="767171" w:themeColor="background2" w:themeShade="80"/>
      </w:rPr>
      <w:t>Marlowe plc 202</w:t>
    </w:r>
    <w:r w:rsidR="00F71FAE">
      <w:rPr>
        <w:rFonts w:ascii="Arial" w:hAnsi="Arial" w:cs="Arial"/>
        <w:color w:val="767171" w:themeColor="background2" w:themeShade="80"/>
      </w:rPr>
      <w:t>4</w:t>
    </w:r>
    <w:r w:rsidR="00CD7325" w:rsidRPr="00614E88">
      <w:rPr>
        <w:rFonts w:ascii="Arial" w:hAnsi="Arial" w:cs="Arial"/>
        <w:color w:val="767171" w:themeColor="background2" w:themeShade="80"/>
      </w:rPr>
      <w:t> I </w:t>
    </w:r>
    <w:r w:rsidR="000A0236" w:rsidRPr="00614E88">
      <w:rPr>
        <w:rFonts w:ascii="Arial" w:hAnsi="Arial" w:cs="Arial"/>
        <w:color w:val="767171" w:themeColor="background2" w:themeShade="80"/>
      </w:rPr>
      <w:t>FY2</w:t>
    </w:r>
    <w:r w:rsidR="00F71FAE">
      <w:rPr>
        <w:rFonts w:ascii="Arial" w:hAnsi="Arial" w:cs="Arial"/>
        <w:color w:val="767171" w:themeColor="background2" w:themeShade="80"/>
      </w:rPr>
      <w:t>4</w:t>
    </w:r>
    <w:r w:rsidR="000A0236" w:rsidRPr="00614E88">
      <w:rPr>
        <w:rFonts w:ascii="Arial" w:hAnsi="Arial" w:cs="Arial"/>
        <w:color w:val="767171" w:themeColor="background2" w:themeShade="80"/>
      </w:rPr>
      <w:t xml:space="preserve"> r</w:t>
    </w:r>
    <w:r w:rsidR="00CD7325" w:rsidRPr="00614E88">
      <w:rPr>
        <w:rFonts w:ascii="Arial" w:hAnsi="Arial" w:cs="Arial"/>
        <w:color w:val="767171" w:themeColor="background2" w:themeShade="80"/>
      </w:rPr>
      <w:t xml:space="preserve">esults </w:t>
    </w:r>
    <w:sdt>
      <w:sdtPr>
        <w:rPr>
          <w:rFonts w:ascii="Arial" w:hAnsi="Arial" w:cs="Arial"/>
        </w:rPr>
        <w:id w:val="-524249560"/>
        <w:docPartObj>
          <w:docPartGallery w:val="Page Numbers (Top of Page)"/>
          <w:docPartUnique/>
        </w:docPartObj>
      </w:sdtPr>
      <w:sdtEndPr>
        <w:rPr>
          <w:rFonts w:asciiTheme="minorHAnsi" w:hAnsiTheme="minorHAnsi" w:cstheme="minorBidi"/>
          <w:noProof/>
        </w:rPr>
      </w:sdtEndPr>
      <w:sdtContent>
        <w:r w:rsidR="00CD7325" w:rsidRPr="00614E88">
          <w:rPr>
            <w:rFonts w:ascii="Arial" w:hAnsi="Arial" w:cs="Arial"/>
          </w:rPr>
          <w:fldChar w:fldCharType="begin"/>
        </w:r>
        <w:r w:rsidR="00CD7325" w:rsidRPr="00614E88">
          <w:rPr>
            <w:rFonts w:ascii="Arial" w:hAnsi="Arial" w:cs="Arial"/>
          </w:rPr>
          <w:instrText xml:space="preserve"> PAGE   \* MERGEFORMAT </w:instrText>
        </w:r>
        <w:r w:rsidR="00CD7325" w:rsidRPr="00614E88">
          <w:rPr>
            <w:rFonts w:ascii="Arial" w:hAnsi="Arial" w:cs="Arial"/>
          </w:rPr>
          <w:fldChar w:fldCharType="separate"/>
        </w:r>
        <w:r w:rsidR="00CD7325" w:rsidRPr="00614E88">
          <w:rPr>
            <w:rFonts w:ascii="Arial" w:hAnsi="Arial" w:cs="Arial"/>
            <w:noProof/>
          </w:rPr>
          <w:t>2</w:t>
        </w:r>
        <w:r w:rsidR="00CD7325" w:rsidRPr="00614E88">
          <w:rPr>
            <w:rFonts w:ascii="Arial" w:hAnsi="Arial" w:cs="Arial"/>
            <w:noProof/>
          </w:rPr>
          <w:fldChar w:fldCharType="end"/>
        </w:r>
      </w:sdtContent>
    </w:sdt>
  </w:p>
  <w:p w14:paraId="5E6C7462" w14:textId="77777777" w:rsidR="00C6061D" w:rsidRDefault="00C60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317A" w14:textId="1D53B282" w:rsidR="00C6061D" w:rsidRDefault="001D0672" w:rsidP="00C6061D">
    <w:pPr>
      <w:pStyle w:val="Header"/>
      <w:jc w:val="right"/>
    </w:pPr>
    <w:r>
      <w:rPr>
        <w:noProof/>
      </w:rPr>
      <mc:AlternateContent>
        <mc:Choice Requires="wps">
          <w:drawing>
            <wp:anchor distT="0" distB="0" distL="114300" distR="114300" simplePos="0" relativeHeight="251658241" behindDoc="0" locked="0" layoutInCell="0" allowOverlap="1" wp14:anchorId="5E4D6026" wp14:editId="6E5DBE20">
              <wp:simplePos x="0" y="0"/>
              <wp:positionH relativeFrom="page">
                <wp:posOffset>0</wp:posOffset>
              </wp:positionH>
              <wp:positionV relativeFrom="page">
                <wp:posOffset>190500</wp:posOffset>
              </wp:positionV>
              <wp:extent cx="7560310" cy="252095"/>
              <wp:effectExtent l="0" t="0" r="0" b="0"/>
              <wp:wrapNone/>
              <wp:docPr id="657025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039303C2" w14:textId="3E01E6CC" w:rsidR="00EF6AEE" w:rsidRPr="00EF6AEE" w:rsidRDefault="00EF6AEE" w:rsidP="00EF6AEE">
                          <w:pPr>
                            <w:spacing w:after="0"/>
                            <w:jc w:val="right"/>
                            <w:rPr>
                              <w:rFonts w:ascii="Arial" w:hAnsi="Arial" w:cs="Arial"/>
                              <w:color w:val="000000"/>
                              <w:sz w:val="16"/>
                            </w:rPr>
                          </w:pPr>
                          <w:r w:rsidRPr="00EF6AEE">
                            <w:rPr>
                              <w:rFonts w:ascii="Arial" w:hAnsi="Arial" w:cs="Arial"/>
                              <w:color w:val="000000"/>
                              <w:sz w:val="16"/>
                            </w:rPr>
                            <w:t>Commercial in confidence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4D6026" id="_x0000_t202" coordsize="21600,21600" o:spt="202" path="m,l,21600r21600,l21600,xe">
              <v:stroke joinstyle="miter"/>
              <v:path gradientshapeok="t" o:connecttype="rect"/>
            </v:shapetype>
            <v:shape id="Text Box 1" o:spid="_x0000_s1027" type="#_x0000_t202" style="position:absolute;left:0;text-align:left;margin-left:0;margin-top:15pt;width:595.3pt;height:19.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" o:allowincell="f" filled="f" stroked="f" strokeweight=".5pt">
              <v:textbox inset=",0,20pt,0">
                <w:txbxContent>
                  <w:p w14:paraId="039303C2" w14:textId="3E01E6CC" w:rsidR="00EF6AEE" w:rsidRPr="00EF6AEE" w:rsidRDefault="00EF6AEE" w:rsidP="00EF6AEE">
                    <w:pPr>
                      <w:spacing w:after="0"/>
                      <w:jc w:val="right"/>
                      <w:rPr>
                        <w:rFonts w:ascii="Arial" w:hAnsi="Arial" w:cs="Arial"/>
                        <w:color w:val="000000"/>
                        <w:sz w:val="16"/>
                      </w:rPr>
                    </w:pPr>
                    <w:r w:rsidRPr="00EF6AEE">
                      <w:rPr>
                        <w:rFonts w:ascii="Arial" w:hAnsi="Arial" w:cs="Arial"/>
                        <w:color w:val="000000"/>
                        <w:sz w:val="16"/>
                      </w:rPr>
                      <w:t>Commercial in confidence</w:t>
                    </w:r>
                  </w:p>
                </w:txbxContent>
              </v:textbox>
              <w10:wrap anchorx="page" anchory="page"/>
            </v:shape>
          </w:pict>
        </mc:Fallback>
      </mc:AlternateContent>
    </w:r>
    <w:r w:rsidR="00CD7325">
      <w:rPr>
        <w:noProof/>
      </w:rPr>
      <w:drawing>
        <wp:inline distT="0" distB="0" distL="0" distR="0" wp14:anchorId="3D491747" wp14:editId="380EC0A8">
          <wp:extent cx="1507902" cy="716184"/>
          <wp:effectExtent l="0" t="0" r="0" b="8255"/>
          <wp:docPr id="1103262860" name="Picture 110326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8712" r="20365"/>
                  <a:stretch/>
                </pic:blipFill>
                <pic:spPr bwMode="auto">
                  <a:xfrm>
                    <a:off x="0" y="0"/>
                    <a:ext cx="1559564" cy="7407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04C"/>
    <w:multiLevelType w:val="hybridMultilevel"/>
    <w:tmpl w:val="F938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83C6A"/>
    <w:multiLevelType w:val="hybridMultilevel"/>
    <w:tmpl w:val="FA6A6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5DF59E9"/>
    <w:multiLevelType w:val="hybridMultilevel"/>
    <w:tmpl w:val="FB045A8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C71C6"/>
    <w:multiLevelType w:val="hybridMultilevel"/>
    <w:tmpl w:val="F3E4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24CBA"/>
    <w:multiLevelType w:val="hybridMultilevel"/>
    <w:tmpl w:val="0F28B4EC"/>
    <w:lvl w:ilvl="0" w:tplc="1CFA0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107DC"/>
    <w:multiLevelType w:val="hybridMultilevel"/>
    <w:tmpl w:val="4F70F26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B7EFF"/>
    <w:multiLevelType w:val="hybridMultilevel"/>
    <w:tmpl w:val="C386A228"/>
    <w:lvl w:ilvl="0" w:tplc="F8CA1E18">
      <w:start w:val="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295C"/>
    <w:multiLevelType w:val="hybridMultilevel"/>
    <w:tmpl w:val="F74C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A7288"/>
    <w:multiLevelType w:val="hybridMultilevel"/>
    <w:tmpl w:val="56A0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D4C1B"/>
    <w:multiLevelType w:val="hybridMultilevel"/>
    <w:tmpl w:val="BA84EE2C"/>
    <w:lvl w:ilvl="0" w:tplc="B4CC703C">
      <w:start w:val="2"/>
      <w:numFmt w:val="decimal"/>
      <w:lvlText w:val="%1."/>
      <w:lvlJc w:val="left"/>
      <w:pPr>
        <w:ind w:left="677" w:hanging="397"/>
      </w:pPr>
      <w:rPr>
        <w:rFonts w:ascii="Avenir" w:eastAsia="Avenir" w:hAnsi="Avenir" w:cs="Avenir" w:hint="default"/>
        <w:b w:val="0"/>
        <w:bCs w:val="0"/>
        <w:i w:val="0"/>
        <w:iCs w:val="0"/>
        <w:color w:val="19375E"/>
        <w:spacing w:val="0"/>
        <w:w w:val="100"/>
        <w:sz w:val="24"/>
        <w:szCs w:val="24"/>
        <w:lang w:val="en-US" w:eastAsia="en-US" w:bidi="ar-SA"/>
      </w:rPr>
    </w:lvl>
    <w:lvl w:ilvl="1" w:tplc="3C00465A">
      <w:numFmt w:val="bullet"/>
      <w:lvlText w:val="•"/>
      <w:lvlJc w:val="left"/>
      <w:pPr>
        <w:ind w:left="960" w:hanging="284"/>
      </w:pPr>
      <w:rPr>
        <w:rFonts w:ascii="Avenir Book" w:eastAsia="Avenir Book" w:hAnsi="Avenir Book" w:cs="Avenir Book" w:hint="default"/>
        <w:b w:val="0"/>
        <w:bCs w:val="0"/>
        <w:i w:val="0"/>
        <w:iCs w:val="0"/>
        <w:color w:val="2B2E30"/>
        <w:spacing w:val="0"/>
        <w:w w:val="100"/>
        <w:sz w:val="18"/>
        <w:szCs w:val="18"/>
        <w:lang w:val="en-US" w:eastAsia="en-US" w:bidi="ar-SA"/>
      </w:rPr>
    </w:lvl>
    <w:lvl w:ilvl="2" w:tplc="7946D4D2">
      <w:numFmt w:val="bullet"/>
      <w:lvlText w:val="•"/>
      <w:lvlJc w:val="left"/>
      <w:pPr>
        <w:ind w:left="2011" w:hanging="284"/>
      </w:pPr>
      <w:rPr>
        <w:rFonts w:hint="default"/>
        <w:lang w:val="en-US" w:eastAsia="en-US" w:bidi="ar-SA"/>
      </w:rPr>
    </w:lvl>
    <w:lvl w:ilvl="3" w:tplc="2CB8D3CA">
      <w:numFmt w:val="bullet"/>
      <w:lvlText w:val="•"/>
      <w:lvlJc w:val="left"/>
      <w:pPr>
        <w:ind w:left="3063" w:hanging="284"/>
      </w:pPr>
      <w:rPr>
        <w:rFonts w:hint="default"/>
        <w:lang w:val="en-US" w:eastAsia="en-US" w:bidi="ar-SA"/>
      </w:rPr>
    </w:lvl>
    <w:lvl w:ilvl="4" w:tplc="83DAB43C">
      <w:numFmt w:val="bullet"/>
      <w:lvlText w:val="•"/>
      <w:lvlJc w:val="left"/>
      <w:pPr>
        <w:ind w:left="4115" w:hanging="284"/>
      </w:pPr>
      <w:rPr>
        <w:rFonts w:hint="default"/>
        <w:lang w:val="en-US" w:eastAsia="en-US" w:bidi="ar-SA"/>
      </w:rPr>
    </w:lvl>
    <w:lvl w:ilvl="5" w:tplc="0F906A48">
      <w:numFmt w:val="bullet"/>
      <w:lvlText w:val="•"/>
      <w:lvlJc w:val="left"/>
      <w:pPr>
        <w:ind w:left="5166" w:hanging="284"/>
      </w:pPr>
      <w:rPr>
        <w:rFonts w:hint="default"/>
        <w:lang w:val="en-US" w:eastAsia="en-US" w:bidi="ar-SA"/>
      </w:rPr>
    </w:lvl>
    <w:lvl w:ilvl="6" w:tplc="B4C0C654">
      <w:numFmt w:val="bullet"/>
      <w:lvlText w:val="•"/>
      <w:lvlJc w:val="left"/>
      <w:pPr>
        <w:ind w:left="6218" w:hanging="284"/>
      </w:pPr>
      <w:rPr>
        <w:rFonts w:hint="default"/>
        <w:lang w:val="en-US" w:eastAsia="en-US" w:bidi="ar-SA"/>
      </w:rPr>
    </w:lvl>
    <w:lvl w:ilvl="7" w:tplc="0D12E4F2">
      <w:numFmt w:val="bullet"/>
      <w:lvlText w:val="•"/>
      <w:lvlJc w:val="left"/>
      <w:pPr>
        <w:ind w:left="7270" w:hanging="284"/>
      </w:pPr>
      <w:rPr>
        <w:rFonts w:hint="default"/>
        <w:lang w:val="en-US" w:eastAsia="en-US" w:bidi="ar-SA"/>
      </w:rPr>
    </w:lvl>
    <w:lvl w:ilvl="8" w:tplc="C6647CE4">
      <w:numFmt w:val="bullet"/>
      <w:lvlText w:val="•"/>
      <w:lvlJc w:val="left"/>
      <w:pPr>
        <w:ind w:left="8322" w:hanging="284"/>
      </w:pPr>
      <w:rPr>
        <w:rFonts w:hint="default"/>
        <w:lang w:val="en-US" w:eastAsia="en-US" w:bidi="ar-SA"/>
      </w:rPr>
    </w:lvl>
  </w:abstractNum>
  <w:abstractNum w:abstractNumId="10" w15:restartNumberingAfterBreak="0">
    <w:nsid w:val="18361114"/>
    <w:multiLevelType w:val="hybridMultilevel"/>
    <w:tmpl w:val="B1A4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21F89"/>
    <w:multiLevelType w:val="hybridMultilevel"/>
    <w:tmpl w:val="1458E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107847"/>
    <w:multiLevelType w:val="hybridMultilevel"/>
    <w:tmpl w:val="D69E1A30"/>
    <w:lvl w:ilvl="0" w:tplc="DE782C6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504B8"/>
    <w:multiLevelType w:val="hybridMultilevel"/>
    <w:tmpl w:val="0CFE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A7260"/>
    <w:multiLevelType w:val="hybridMultilevel"/>
    <w:tmpl w:val="55CC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416CC"/>
    <w:multiLevelType w:val="hybridMultilevel"/>
    <w:tmpl w:val="978C614C"/>
    <w:lvl w:ilvl="0" w:tplc="2BBA0394">
      <w:numFmt w:val="bullet"/>
      <w:lvlText w:val="•"/>
      <w:lvlJc w:val="left"/>
      <w:pPr>
        <w:ind w:left="960" w:hanging="284"/>
      </w:pPr>
      <w:rPr>
        <w:rFonts w:ascii="Avenir Book" w:eastAsia="Avenir Book" w:hAnsi="Avenir Book" w:cs="Avenir Book" w:hint="default"/>
        <w:b w:val="0"/>
        <w:bCs w:val="0"/>
        <w:i w:val="0"/>
        <w:iCs w:val="0"/>
        <w:color w:val="2B2E30"/>
        <w:spacing w:val="0"/>
        <w:w w:val="100"/>
        <w:sz w:val="18"/>
        <w:szCs w:val="18"/>
        <w:lang w:val="en-US" w:eastAsia="en-US" w:bidi="ar-SA"/>
      </w:rPr>
    </w:lvl>
    <w:lvl w:ilvl="1" w:tplc="7F3810DA">
      <w:numFmt w:val="bullet"/>
      <w:lvlText w:val="•"/>
      <w:lvlJc w:val="left"/>
      <w:pPr>
        <w:ind w:left="1906" w:hanging="284"/>
      </w:pPr>
      <w:rPr>
        <w:rFonts w:hint="default"/>
        <w:lang w:val="en-US" w:eastAsia="en-US" w:bidi="ar-SA"/>
      </w:rPr>
    </w:lvl>
    <w:lvl w:ilvl="2" w:tplc="DFDE0826">
      <w:numFmt w:val="bullet"/>
      <w:lvlText w:val="•"/>
      <w:lvlJc w:val="left"/>
      <w:pPr>
        <w:ind w:left="2853" w:hanging="284"/>
      </w:pPr>
      <w:rPr>
        <w:rFonts w:hint="default"/>
        <w:lang w:val="en-US" w:eastAsia="en-US" w:bidi="ar-SA"/>
      </w:rPr>
    </w:lvl>
    <w:lvl w:ilvl="3" w:tplc="F3AE0752">
      <w:numFmt w:val="bullet"/>
      <w:lvlText w:val="•"/>
      <w:lvlJc w:val="left"/>
      <w:pPr>
        <w:ind w:left="3799" w:hanging="284"/>
      </w:pPr>
      <w:rPr>
        <w:rFonts w:hint="default"/>
        <w:lang w:val="en-US" w:eastAsia="en-US" w:bidi="ar-SA"/>
      </w:rPr>
    </w:lvl>
    <w:lvl w:ilvl="4" w:tplc="4C56FC9A">
      <w:numFmt w:val="bullet"/>
      <w:lvlText w:val="•"/>
      <w:lvlJc w:val="left"/>
      <w:pPr>
        <w:ind w:left="4746" w:hanging="284"/>
      </w:pPr>
      <w:rPr>
        <w:rFonts w:hint="default"/>
        <w:lang w:val="en-US" w:eastAsia="en-US" w:bidi="ar-SA"/>
      </w:rPr>
    </w:lvl>
    <w:lvl w:ilvl="5" w:tplc="3D6263DA">
      <w:numFmt w:val="bullet"/>
      <w:lvlText w:val="•"/>
      <w:lvlJc w:val="left"/>
      <w:pPr>
        <w:ind w:left="5692" w:hanging="284"/>
      </w:pPr>
      <w:rPr>
        <w:rFonts w:hint="default"/>
        <w:lang w:val="en-US" w:eastAsia="en-US" w:bidi="ar-SA"/>
      </w:rPr>
    </w:lvl>
    <w:lvl w:ilvl="6" w:tplc="0E94C804">
      <w:numFmt w:val="bullet"/>
      <w:lvlText w:val="•"/>
      <w:lvlJc w:val="left"/>
      <w:pPr>
        <w:ind w:left="6639" w:hanging="284"/>
      </w:pPr>
      <w:rPr>
        <w:rFonts w:hint="default"/>
        <w:lang w:val="en-US" w:eastAsia="en-US" w:bidi="ar-SA"/>
      </w:rPr>
    </w:lvl>
    <w:lvl w:ilvl="7" w:tplc="EBB8B748">
      <w:numFmt w:val="bullet"/>
      <w:lvlText w:val="•"/>
      <w:lvlJc w:val="left"/>
      <w:pPr>
        <w:ind w:left="7585" w:hanging="284"/>
      </w:pPr>
      <w:rPr>
        <w:rFonts w:hint="default"/>
        <w:lang w:val="en-US" w:eastAsia="en-US" w:bidi="ar-SA"/>
      </w:rPr>
    </w:lvl>
    <w:lvl w:ilvl="8" w:tplc="D67860DC">
      <w:numFmt w:val="bullet"/>
      <w:lvlText w:val="•"/>
      <w:lvlJc w:val="left"/>
      <w:pPr>
        <w:ind w:left="8532" w:hanging="284"/>
      </w:pPr>
      <w:rPr>
        <w:rFonts w:hint="default"/>
        <w:lang w:val="en-US" w:eastAsia="en-US" w:bidi="ar-SA"/>
      </w:rPr>
    </w:lvl>
  </w:abstractNum>
  <w:abstractNum w:abstractNumId="16" w15:restartNumberingAfterBreak="0">
    <w:nsid w:val="384E3813"/>
    <w:multiLevelType w:val="hybridMultilevel"/>
    <w:tmpl w:val="0562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A6123"/>
    <w:multiLevelType w:val="hybridMultilevel"/>
    <w:tmpl w:val="661800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CE4179"/>
    <w:multiLevelType w:val="hybridMultilevel"/>
    <w:tmpl w:val="1700B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97616E"/>
    <w:multiLevelType w:val="hybridMultilevel"/>
    <w:tmpl w:val="2B3CF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DC3B30"/>
    <w:multiLevelType w:val="hybridMultilevel"/>
    <w:tmpl w:val="C83C23B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numFmt w:val="bullet"/>
      <w:lvlText w:val="•"/>
      <w:lvlJc w:val="left"/>
      <w:pPr>
        <w:ind w:left="2160" w:hanging="360"/>
      </w:pPr>
      <w:rPr>
        <w:rFonts w:ascii="Arial" w:eastAsiaTheme="minorHAnsi"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4A9834B4">
      <w:start w:val="1"/>
      <w:numFmt w:val="bullet"/>
      <w:lvlText w:val="-"/>
      <w:lvlJc w:val="left"/>
      <w:pPr>
        <w:ind w:left="4320" w:hanging="360"/>
      </w:pPr>
      <w:rPr>
        <w:rFonts w:ascii="Arial" w:eastAsia="Times New Roman" w:hAnsi="Arial" w:cs="Aria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F43C9A"/>
    <w:multiLevelType w:val="hybridMultilevel"/>
    <w:tmpl w:val="47BC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65D4"/>
    <w:multiLevelType w:val="hybridMultilevel"/>
    <w:tmpl w:val="6DE6727A"/>
    <w:lvl w:ilvl="0" w:tplc="12940566">
      <w:numFmt w:val="bullet"/>
      <w:lvlText w:val="•"/>
      <w:lvlJc w:val="left"/>
      <w:pPr>
        <w:ind w:left="960" w:hanging="284"/>
      </w:pPr>
      <w:rPr>
        <w:rFonts w:ascii="Avenir Book" w:eastAsia="Avenir Book" w:hAnsi="Avenir Book" w:cs="Avenir Book" w:hint="default"/>
        <w:b w:val="0"/>
        <w:bCs w:val="0"/>
        <w:i w:val="0"/>
        <w:iCs w:val="0"/>
        <w:color w:val="2B2E30"/>
        <w:spacing w:val="0"/>
        <w:w w:val="100"/>
        <w:sz w:val="18"/>
        <w:szCs w:val="18"/>
        <w:lang w:val="en-US" w:eastAsia="en-US" w:bidi="ar-SA"/>
      </w:rPr>
    </w:lvl>
    <w:lvl w:ilvl="1" w:tplc="9BEE660E">
      <w:numFmt w:val="bullet"/>
      <w:lvlText w:val="•"/>
      <w:lvlJc w:val="left"/>
      <w:pPr>
        <w:ind w:left="1906" w:hanging="284"/>
      </w:pPr>
      <w:rPr>
        <w:rFonts w:hint="default"/>
        <w:lang w:val="en-US" w:eastAsia="en-US" w:bidi="ar-SA"/>
      </w:rPr>
    </w:lvl>
    <w:lvl w:ilvl="2" w:tplc="B04CEACE">
      <w:numFmt w:val="bullet"/>
      <w:lvlText w:val="•"/>
      <w:lvlJc w:val="left"/>
      <w:pPr>
        <w:ind w:left="2853" w:hanging="284"/>
      </w:pPr>
      <w:rPr>
        <w:rFonts w:hint="default"/>
        <w:lang w:val="en-US" w:eastAsia="en-US" w:bidi="ar-SA"/>
      </w:rPr>
    </w:lvl>
    <w:lvl w:ilvl="3" w:tplc="A04AB806">
      <w:numFmt w:val="bullet"/>
      <w:lvlText w:val="•"/>
      <w:lvlJc w:val="left"/>
      <w:pPr>
        <w:ind w:left="3799" w:hanging="284"/>
      </w:pPr>
      <w:rPr>
        <w:rFonts w:hint="default"/>
        <w:lang w:val="en-US" w:eastAsia="en-US" w:bidi="ar-SA"/>
      </w:rPr>
    </w:lvl>
    <w:lvl w:ilvl="4" w:tplc="63A05ADC">
      <w:numFmt w:val="bullet"/>
      <w:lvlText w:val="•"/>
      <w:lvlJc w:val="left"/>
      <w:pPr>
        <w:ind w:left="4746" w:hanging="284"/>
      </w:pPr>
      <w:rPr>
        <w:rFonts w:hint="default"/>
        <w:lang w:val="en-US" w:eastAsia="en-US" w:bidi="ar-SA"/>
      </w:rPr>
    </w:lvl>
    <w:lvl w:ilvl="5" w:tplc="28384008">
      <w:numFmt w:val="bullet"/>
      <w:lvlText w:val="•"/>
      <w:lvlJc w:val="left"/>
      <w:pPr>
        <w:ind w:left="5692" w:hanging="284"/>
      </w:pPr>
      <w:rPr>
        <w:rFonts w:hint="default"/>
        <w:lang w:val="en-US" w:eastAsia="en-US" w:bidi="ar-SA"/>
      </w:rPr>
    </w:lvl>
    <w:lvl w:ilvl="6" w:tplc="01323A4A">
      <w:numFmt w:val="bullet"/>
      <w:lvlText w:val="•"/>
      <w:lvlJc w:val="left"/>
      <w:pPr>
        <w:ind w:left="6639" w:hanging="284"/>
      </w:pPr>
      <w:rPr>
        <w:rFonts w:hint="default"/>
        <w:lang w:val="en-US" w:eastAsia="en-US" w:bidi="ar-SA"/>
      </w:rPr>
    </w:lvl>
    <w:lvl w:ilvl="7" w:tplc="87A0AE14">
      <w:numFmt w:val="bullet"/>
      <w:lvlText w:val="•"/>
      <w:lvlJc w:val="left"/>
      <w:pPr>
        <w:ind w:left="7585" w:hanging="284"/>
      </w:pPr>
      <w:rPr>
        <w:rFonts w:hint="default"/>
        <w:lang w:val="en-US" w:eastAsia="en-US" w:bidi="ar-SA"/>
      </w:rPr>
    </w:lvl>
    <w:lvl w:ilvl="8" w:tplc="BD90BDC4">
      <w:numFmt w:val="bullet"/>
      <w:lvlText w:val="•"/>
      <w:lvlJc w:val="left"/>
      <w:pPr>
        <w:ind w:left="8532" w:hanging="284"/>
      </w:pPr>
      <w:rPr>
        <w:rFonts w:hint="default"/>
        <w:lang w:val="en-US" w:eastAsia="en-US" w:bidi="ar-SA"/>
      </w:rPr>
    </w:lvl>
  </w:abstractNum>
  <w:abstractNum w:abstractNumId="23" w15:restartNumberingAfterBreak="0">
    <w:nsid w:val="4BA1282B"/>
    <w:multiLevelType w:val="hybridMultilevel"/>
    <w:tmpl w:val="49F2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164AF"/>
    <w:multiLevelType w:val="hybridMultilevel"/>
    <w:tmpl w:val="806065B4"/>
    <w:lvl w:ilvl="0" w:tplc="2A8CA5AE">
      <w:start w:val="2"/>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15:restartNumberingAfterBreak="0">
    <w:nsid w:val="4D504618"/>
    <w:multiLevelType w:val="hybridMultilevel"/>
    <w:tmpl w:val="82B4D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01258"/>
    <w:multiLevelType w:val="hybridMultilevel"/>
    <w:tmpl w:val="FC3AE54A"/>
    <w:lvl w:ilvl="0" w:tplc="DA081BCE">
      <w:start w:val="2"/>
      <w:numFmt w:val="decimal"/>
      <w:lvlText w:val="%1."/>
      <w:lvlJc w:val="left"/>
      <w:pPr>
        <w:ind w:left="677" w:hanging="397"/>
      </w:pPr>
      <w:rPr>
        <w:rFonts w:ascii="Avenir" w:eastAsia="Avenir" w:hAnsi="Avenir" w:cs="Avenir" w:hint="default"/>
        <w:b w:val="0"/>
        <w:bCs w:val="0"/>
        <w:i w:val="0"/>
        <w:iCs w:val="0"/>
        <w:color w:val="19375E"/>
        <w:spacing w:val="0"/>
        <w:w w:val="100"/>
        <w:sz w:val="24"/>
        <w:szCs w:val="24"/>
        <w:lang w:val="en-US" w:eastAsia="en-US" w:bidi="ar-SA"/>
      </w:rPr>
    </w:lvl>
    <w:lvl w:ilvl="1" w:tplc="FA1A4260">
      <w:numFmt w:val="bullet"/>
      <w:lvlText w:val="•"/>
      <w:lvlJc w:val="left"/>
      <w:pPr>
        <w:ind w:left="960" w:hanging="284"/>
      </w:pPr>
      <w:rPr>
        <w:rFonts w:ascii="Avenir Book" w:eastAsia="Avenir Book" w:hAnsi="Avenir Book" w:cs="Avenir Book" w:hint="default"/>
        <w:b w:val="0"/>
        <w:bCs w:val="0"/>
        <w:i w:val="0"/>
        <w:iCs w:val="0"/>
        <w:color w:val="2B2E30"/>
        <w:spacing w:val="0"/>
        <w:w w:val="100"/>
        <w:sz w:val="18"/>
        <w:szCs w:val="18"/>
        <w:lang w:val="en-US" w:eastAsia="en-US" w:bidi="ar-SA"/>
      </w:rPr>
    </w:lvl>
    <w:lvl w:ilvl="2" w:tplc="AA701566">
      <w:numFmt w:val="bullet"/>
      <w:lvlText w:val="•"/>
      <w:lvlJc w:val="left"/>
      <w:pPr>
        <w:ind w:left="2011" w:hanging="284"/>
      </w:pPr>
      <w:rPr>
        <w:rFonts w:hint="default"/>
        <w:lang w:val="en-US" w:eastAsia="en-US" w:bidi="ar-SA"/>
      </w:rPr>
    </w:lvl>
    <w:lvl w:ilvl="3" w:tplc="4A029FAC">
      <w:numFmt w:val="bullet"/>
      <w:lvlText w:val="•"/>
      <w:lvlJc w:val="left"/>
      <w:pPr>
        <w:ind w:left="3063" w:hanging="284"/>
      </w:pPr>
      <w:rPr>
        <w:rFonts w:hint="default"/>
        <w:lang w:val="en-US" w:eastAsia="en-US" w:bidi="ar-SA"/>
      </w:rPr>
    </w:lvl>
    <w:lvl w:ilvl="4" w:tplc="03449268">
      <w:numFmt w:val="bullet"/>
      <w:lvlText w:val="•"/>
      <w:lvlJc w:val="left"/>
      <w:pPr>
        <w:ind w:left="4115" w:hanging="284"/>
      </w:pPr>
      <w:rPr>
        <w:rFonts w:hint="default"/>
        <w:lang w:val="en-US" w:eastAsia="en-US" w:bidi="ar-SA"/>
      </w:rPr>
    </w:lvl>
    <w:lvl w:ilvl="5" w:tplc="3D986F98">
      <w:numFmt w:val="bullet"/>
      <w:lvlText w:val="•"/>
      <w:lvlJc w:val="left"/>
      <w:pPr>
        <w:ind w:left="5166" w:hanging="284"/>
      </w:pPr>
      <w:rPr>
        <w:rFonts w:hint="default"/>
        <w:lang w:val="en-US" w:eastAsia="en-US" w:bidi="ar-SA"/>
      </w:rPr>
    </w:lvl>
    <w:lvl w:ilvl="6" w:tplc="83D4E60A">
      <w:numFmt w:val="bullet"/>
      <w:lvlText w:val="•"/>
      <w:lvlJc w:val="left"/>
      <w:pPr>
        <w:ind w:left="6218" w:hanging="284"/>
      </w:pPr>
      <w:rPr>
        <w:rFonts w:hint="default"/>
        <w:lang w:val="en-US" w:eastAsia="en-US" w:bidi="ar-SA"/>
      </w:rPr>
    </w:lvl>
    <w:lvl w:ilvl="7" w:tplc="BF747CBC">
      <w:numFmt w:val="bullet"/>
      <w:lvlText w:val="•"/>
      <w:lvlJc w:val="left"/>
      <w:pPr>
        <w:ind w:left="7270" w:hanging="284"/>
      </w:pPr>
      <w:rPr>
        <w:rFonts w:hint="default"/>
        <w:lang w:val="en-US" w:eastAsia="en-US" w:bidi="ar-SA"/>
      </w:rPr>
    </w:lvl>
    <w:lvl w:ilvl="8" w:tplc="B8508432">
      <w:numFmt w:val="bullet"/>
      <w:lvlText w:val="•"/>
      <w:lvlJc w:val="left"/>
      <w:pPr>
        <w:ind w:left="8322" w:hanging="284"/>
      </w:pPr>
      <w:rPr>
        <w:rFonts w:hint="default"/>
        <w:lang w:val="en-US" w:eastAsia="en-US" w:bidi="ar-SA"/>
      </w:rPr>
    </w:lvl>
  </w:abstractNum>
  <w:abstractNum w:abstractNumId="27" w15:restartNumberingAfterBreak="0">
    <w:nsid w:val="5AC20064"/>
    <w:multiLevelType w:val="hybridMultilevel"/>
    <w:tmpl w:val="3A066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01BD5"/>
    <w:multiLevelType w:val="hybridMultilevel"/>
    <w:tmpl w:val="F55A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1555B"/>
    <w:multiLevelType w:val="hybridMultilevel"/>
    <w:tmpl w:val="EC504CFA"/>
    <w:lvl w:ilvl="0" w:tplc="2C2603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C5018"/>
    <w:multiLevelType w:val="hybridMultilevel"/>
    <w:tmpl w:val="F1561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A3E14"/>
    <w:multiLevelType w:val="hybridMultilevel"/>
    <w:tmpl w:val="73B2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84E00"/>
    <w:multiLevelType w:val="hybridMultilevel"/>
    <w:tmpl w:val="4ECE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2D6BBE"/>
    <w:multiLevelType w:val="hybridMultilevel"/>
    <w:tmpl w:val="4600E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1405BA"/>
    <w:multiLevelType w:val="hybridMultilevel"/>
    <w:tmpl w:val="8B36338E"/>
    <w:lvl w:ilvl="0" w:tplc="1E7857AA">
      <w:start w:val="4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56FE9"/>
    <w:multiLevelType w:val="hybridMultilevel"/>
    <w:tmpl w:val="65FABCF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numFmt w:val="bullet"/>
      <w:lvlText w:val="•"/>
      <w:lvlJc w:val="left"/>
      <w:pPr>
        <w:ind w:left="2160" w:hanging="360"/>
      </w:pPr>
      <w:rPr>
        <w:rFonts w:ascii="Arial" w:eastAsiaTheme="minorHAnsi"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B7048E"/>
    <w:multiLevelType w:val="hybridMultilevel"/>
    <w:tmpl w:val="E34E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B4865"/>
    <w:multiLevelType w:val="hybridMultilevel"/>
    <w:tmpl w:val="FBD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D4274"/>
    <w:multiLevelType w:val="hybridMultilevel"/>
    <w:tmpl w:val="1A7C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6750B"/>
    <w:multiLevelType w:val="hybridMultilevel"/>
    <w:tmpl w:val="9D380A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9D1E3762">
      <w:numFmt w:val="bullet"/>
      <w:lvlText w:val="•"/>
      <w:lvlJc w:val="left"/>
      <w:pPr>
        <w:ind w:left="2520" w:hanging="360"/>
      </w:pPr>
      <w:rPr>
        <w:rFonts w:ascii="Arial" w:eastAsiaTheme="minorHAnsi" w:hAnsi="Arial" w:cs="Aria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2F3815"/>
    <w:multiLevelType w:val="hybridMultilevel"/>
    <w:tmpl w:val="8A0E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6067E"/>
    <w:multiLevelType w:val="hybridMultilevel"/>
    <w:tmpl w:val="9A14763C"/>
    <w:lvl w:ilvl="0" w:tplc="52C6EDAC">
      <w:start w:val="1"/>
      <w:numFmt w:val="lowerRoman"/>
      <w:lvlText w:val="(%1)"/>
      <w:lvlJc w:val="left"/>
      <w:pPr>
        <w:ind w:left="960" w:hanging="284"/>
      </w:pPr>
      <w:rPr>
        <w:rFonts w:ascii="Avenir Book" w:eastAsia="Avenir Book" w:hAnsi="Avenir Book" w:cs="Avenir Book" w:hint="default"/>
        <w:b w:val="0"/>
        <w:bCs w:val="0"/>
        <w:i w:val="0"/>
        <w:iCs w:val="0"/>
        <w:color w:val="2B2E30"/>
        <w:spacing w:val="0"/>
        <w:w w:val="100"/>
        <w:sz w:val="18"/>
        <w:szCs w:val="18"/>
        <w:lang w:val="en-US" w:eastAsia="en-US" w:bidi="ar-SA"/>
      </w:rPr>
    </w:lvl>
    <w:lvl w:ilvl="1" w:tplc="73423302">
      <w:numFmt w:val="bullet"/>
      <w:lvlText w:val="•"/>
      <w:lvlJc w:val="left"/>
      <w:pPr>
        <w:ind w:left="1906" w:hanging="284"/>
      </w:pPr>
      <w:rPr>
        <w:rFonts w:hint="default"/>
        <w:lang w:val="en-US" w:eastAsia="en-US" w:bidi="ar-SA"/>
      </w:rPr>
    </w:lvl>
    <w:lvl w:ilvl="2" w:tplc="36CCB9B2">
      <w:numFmt w:val="bullet"/>
      <w:lvlText w:val="•"/>
      <w:lvlJc w:val="left"/>
      <w:pPr>
        <w:ind w:left="2853" w:hanging="284"/>
      </w:pPr>
      <w:rPr>
        <w:rFonts w:hint="default"/>
        <w:lang w:val="en-US" w:eastAsia="en-US" w:bidi="ar-SA"/>
      </w:rPr>
    </w:lvl>
    <w:lvl w:ilvl="3" w:tplc="8D3225AC">
      <w:numFmt w:val="bullet"/>
      <w:lvlText w:val="•"/>
      <w:lvlJc w:val="left"/>
      <w:pPr>
        <w:ind w:left="3799" w:hanging="284"/>
      </w:pPr>
      <w:rPr>
        <w:rFonts w:hint="default"/>
        <w:lang w:val="en-US" w:eastAsia="en-US" w:bidi="ar-SA"/>
      </w:rPr>
    </w:lvl>
    <w:lvl w:ilvl="4" w:tplc="83525ED4">
      <w:numFmt w:val="bullet"/>
      <w:lvlText w:val="•"/>
      <w:lvlJc w:val="left"/>
      <w:pPr>
        <w:ind w:left="4746" w:hanging="284"/>
      </w:pPr>
      <w:rPr>
        <w:rFonts w:hint="default"/>
        <w:lang w:val="en-US" w:eastAsia="en-US" w:bidi="ar-SA"/>
      </w:rPr>
    </w:lvl>
    <w:lvl w:ilvl="5" w:tplc="3FD8D424">
      <w:numFmt w:val="bullet"/>
      <w:lvlText w:val="•"/>
      <w:lvlJc w:val="left"/>
      <w:pPr>
        <w:ind w:left="5692" w:hanging="284"/>
      </w:pPr>
      <w:rPr>
        <w:rFonts w:hint="default"/>
        <w:lang w:val="en-US" w:eastAsia="en-US" w:bidi="ar-SA"/>
      </w:rPr>
    </w:lvl>
    <w:lvl w:ilvl="6" w:tplc="F0F0CCEA">
      <w:numFmt w:val="bullet"/>
      <w:lvlText w:val="•"/>
      <w:lvlJc w:val="left"/>
      <w:pPr>
        <w:ind w:left="6639" w:hanging="284"/>
      </w:pPr>
      <w:rPr>
        <w:rFonts w:hint="default"/>
        <w:lang w:val="en-US" w:eastAsia="en-US" w:bidi="ar-SA"/>
      </w:rPr>
    </w:lvl>
    <w:lvl w:ilvl="7" w:tplc="BE12520C">
      <w:numFmt w:val="bullet"/>
      <w:lvlText w:val="•"/>
      <w:lvlJc w:val="left"/>
      <w:pPr>
        <w:ind w:left="7585" w:hanging="284"/>
      </w:pPr>
      <w:rPr>
        <w:rFonts w:hint="default"/>
        <w:lang w:val="en-US" w:eastAsia="en-US" w:bidi="ar-SA"/>
      </w:rPr>
    </w:lvl>
    <w:lvl w:ilvl="8" w:tplc="0EAE8096">
      <w:numFmt w:val="bullet"/>
      <w:lvlText w:val="•"/>
      <w:lvlJc w:val="left"/>
      <w:pPr>
        <w:ind w:left="8532" w:hanging="284"/>
      </w:pPr>
      <w:rPr>
        <w:rFonts w:hint="default"/>
        <w:lang w:val="en-US" w:eastAsia="en-US" w:bidi="ar-SA"/>
      </w:rPr>
    </w:lvl>
  </w:abstractNum>
  <w:abstractNum w:abstractNumId="42" w15:restartNumberingAfterBreak="0">
    <w:nsid w:val="7E5E28A1"/>
    <w:multiLevelType w:val="hybridMultilevel"/>
    <w:tmpl w:val="E026C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C0984"/>
    <w:multiLevelType w:val="hybridMultilevel"/>
    <w:tmpl w:val="9D84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036275">
    <w:abstractNumId w:val="39"/>
  </w:num>
  <w:num w:numId="2" w16cid:durableId="511531169">
    <w:abstractNumId w:val="36"/>
  </w:num>
  <w:num w:numId="3" w16cid:durableId="378629904">
    <w:abstractNumId w:val="40"/>
  </w:num>
  <w:num w:numId="4" w16cid:durableId="2075346773">
    <w:abstractNumId w:val="7"/>
  </w:num>
  <w:num w:numId="5" w16cid:durableId="2094664522">
    <w:abstractNumId w:val="35"/>
  </w:num>
  <w:num w:numId="6" w16cid:durableId="1586719675">
    <w:abstractNumId w:val="20"/>
  </w:num>
  <w:num w:numId="7" w16cid:durableId="1537157742">
    <w:abstractNumId w:val="1"/>
  </w:num>
  <w:num w:numId="8" w16cid:durableId="387925835">
    <w:abstractNumId w:val="28"/>
  </w:num>
  <w:num w:numId="9" w16cid:durableId="1988507258">
    <w:abstractNumId w:val="18"/>
  </w:num>
  <w:num w:numId="10" w16cid:durableId="1633514393">
    <w:abstractNumId w:val="43"/>
  </w:num>
  <w:num w:numId="11" w16cid:durableId="299002347">
    <w:abstractNumId w:val="16"/>
  </w:num>
  <w:num w:numId="12" w16cid:durableId="73088541">
    <w:abstractNumId w:val="10"/>
  </w:num>
  <w:num w:numId="13" w16cid:durableId="2144541435">
    <w:abstractNumId w:val="21"/>
  </w:num>
  <w:num w:numId="14" w16cid:durableId="100998158">
    <w:abstractNumId w:val="42"/>
  </w:num>
  <w:num w:numId="15" w16cid:durableId="1378506410">
    <w:abstractNumId w:val="0"/>
  </w:num>
  <w:num w:numId="16" w16cid:durableId="1954941501">
    <w:abstractNumId w:val="38"/>
  </w:num>
  <w:num w:numId="17" w16cid:durableId="836774720">
    <w:abstractNumId w:val="37"/>
  </w:num>
  <w:num w:numId="18" w16cid:durableId="473832230">
    <w:abstractNumId w:val="21"/>
  </w:num>
  <w:num w:numId="19" w16cid:durableId="555747449">
    <w:abstractNumId w:val="0"/>
  </w:num>
  <w:num w:numId="20" w16cid:durableId="160632145">
    <w:abstractNumId w:val="19"/>
  </w:num>
  <w:num w:numId="21" w16cid:durableId="652442268">
    <w:abstractNumId w:val="13"/>
  </w:num>
  <w:num w:numId="22" w16cid:durableId="1035734183">
    <w:abstractNumId w:val="33"/>
  </w:num>
  <w:num w:numId="23" w16cid:durableId="1470902757">
    <w:abstractNumId w:val="23"/>
  </w:num>
  <w:num w:numId="24" w16cid:durableId="1175345271">
    <w:abstractNumId w:val="15"/>
  </w:num>
  <w:num w:numId="25" w16cid:durableId="2126851039">
    <w:abstractNumId w:val="25"/>
  </w:num>
  <w:num w:numId="26" w16cid:durableId="990333813">
    <w:abstractNumId w:val="3"/>
  </w:num>
  <w:num w:numId="27" w16cid:durableId="346097355">
    <w:abstractNumId w:val="26"/>
  </w:num>
  <w:num w:numId="28" w16cid:durableId="1002052266">
    <w:abstractNumId w:val="41"/>
  </w:num>
  <w:num w:numId="29" w16cid:durableId="2024476419">
    <w:abstractNumId w:val="4"/>
  </w:num>
  <w:num w:numId="30" w16cid:durableId="650405120">
    <w:abstractNumId w:val="22"/>
  </w:num>
  <w:num w:numId="31" w16cid:durableId="800654613">
    <w:abstractNumId w:val="9"/>
  </w:num>
  <w:num w:numId="32" w16cid:durableId="2073264075">
    <w:abstractNumId w:val="31"/>
  </w:num>
  <w:num w:numId="33" w16cid:durableId="1025790344">
    <w:abstractNumId w:val="5"/>
  </w:num>
  <w:num w:numId="34" w16cid:durableId="56905883">
    <w:abstractNumId w:val="24"/>
  </w:num>
  <w:num w:numId="35" w16cid:durableId="350567530">
    <w:abstractNumId w:val="2"/>
  </w:num>
  <w:num w:numId="36" w16cid:durableId="1661352224">
    <w:abstractNumId w:val="14"/>
  </w:num>
  <w:num w:numId="37" w16cid:durableId="454102249">
    <w:abstractNumId w:val="6"/>
  </w:num>
  <w:num w:numId="38" w16cid:durableId="2071996057">
    <w:abstractNumId w:val="32"/>
  </w:num>
  <w:num w:numId="39" w16cid:durableId="1424033839">
    <w:abstractNumId w:val="11"/>
  </w:num>
  <w:num w:numId="40" w16cid:durableId="1006594185">
    <w:abstractNumId w:val="8"/>
  </w:num>
  <w:num w:numId="41" w16cid:durableId="122582874">
    <w:abstractNumId w:val="29"/>
  </w:num>
  <w:num w:numId="42" w16cid:durableId="8259836">
    <w:abstractNumId w:val="30"/>
  </w:num>
  <w:num w:numId="43" w16cid:durableId="1077434288">
    <w:abstractNumId w:val="17"/>
  </w:num>
  <w:num w:numId="44" w16cid:durableId="1656568157">
    <w:abstractNumId w:val="12"/>
  </w:num>
  <w:num w:numId="45" w16cid:durableId="317734167">
    <w:abstractNumId w:val="27"/>
  </w:num>
  <w:num w:numId="46" w16cid:durableId="175027258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42"/>
    <w:rsid w:val="00000B5A"/>
    <w:rsid w:val="00001F52"/>
    <w:rsid w:val="0000347E"/>
    <w:rsid w:val="000037D9"/>
    <w:rsid w:val="00004D2F"/>
    <w:rsid w:val="00006E2A"/>
    <w:rsid w:val="00007B43"/>
    <w:rsid w:val="00010640"/>
    <w:rsid w:val="00011A6B"/>
    <w:rsid w:val="00012B8F"/>
    <w:rsid w:val="00016BA1"/>
    <w:rsid w:val="000174E2"/>
    <w:rsid w:val="000177F7"/>
    <w:rsid w:val="000213E0"/>
    <w:rsid w:val="000214EB"/>
    <w:rsid w:val="000216D5"/>
    <w:rsid w:val="00022101"/>
    <w:rsid w:val="00023130"/>
    <w:rsid w:val="00025982"/>
    <w:rsid w:val="0003051F"/>
    <w:rsid w:val="00031BB5"/>
    <w:rsid w:val="00032CC2"/>
    <w:rsid w:val="000336E6"/>
    <w:rsid w:val="000344C3"/>
    <w:rsid w:val="000352CF"/>
    <w:rsid w:val="00040FC6"/>
    <w:rsid w:val="000422CE"/>
    <w:rsid w:val="00042F2F"/>
    <w:rsid w:val="000438D7"/>
    <w:rsid w:val="00043BC1"/>
    <w:rsid w:val="000513D1"/>
    <w:rsid w:val="00052989"/>
    <w:rsid w:val="00053015"/>
    <w:rsid w:val="00053545"/>
    <w:rsid w:val="00053C0E"/>
    <w:rsid w:val="00056775"/>
    <w:rsid w:val="00060988"/>
    <w:rsid w:val="00061249"/>
    <w:rsid w:val="0006153D"/>
    <w:rsid w:val="000618AA"/>
    <w:rsid w:val="000642D6"/>
    <w:rsid w:val="00065F31"/>
    <w:rsid w:val="000678EC"/>
    <w:rsid w:val="00067F2F"/>
    <w:rsid w:val="00071334"/>
    <w:rsid w:val="00072548"/>
    <w:rsid w:val="0007375C"/>
    <w:rsid w:val="00073F18"/>
    <w:rsid w:val="000757F1"/>
    <w:rsid w:val="00075D3C"/>
    <w:rsid w:val="00076105"/>
    <w:rsid w:val="000765B7"/>
    <w:rsid w:val="00076B53"/>
    <w:rsid w:val="0007758B"/>
    <w:rsid w:val="00081C25"/>
    <w:rsid w:val="00082814"/>
    <w:rsid w:val="000838F8"/>
    <w:rsid w:val="00085071"/>
    <w:rsid w:val="0008686E"/>
    <w:rsid w:val="000869BC"/>
    <w:rsid w:val="00087F09"/>
    <w:rsid w:val="000901BB"/>
    <w:rsid w:val="000905C3"/>
    <w:rsid w:val="00090795"/>
    <w:rsid w:val="00090DF0"/>
    <w:rsid w:val="00091754"/>
    <w:rsid w:val="00091ED2"/>
    <w:rsid w:val="000922EE"/>
    <w:rsid w:val="000923E7"/>
    <w:rsid w:val="00094A95"/>
    <w:rsid w:val="00094D50"/>
    <w:rsid w:val="0009753B"/>
    <w:rsid w:val="000A0236"/>
    <w:rsid w:val="000A0B54"/>
    <w:rsid w:val="000A1B15"/>
    <w:rsid w:val="000A4756"/>
    <w:rsid w:val="000A6161"/>
    <w:rsid w:val="000B03EF"/>
    <w:rsid w:val="000B13F3"/>
    <w:rsid w:val="000B2106"/>
    <w:rsid w:val="000B22B7"/>
    <w:rsid w:val="000B4207"/>
    <w:rsid w:val="000B5743"/>
    <w:rsid w:val="000B72C6"/>
    <w:rsid w:val="000C0162"/>
    <w:rsid w:val="000C0FBF"/>
    <w:rsid w:val="000C2074"/>
    <w:rsid w:val="000C2217"/>
    <w:rsid w:val="000C2895"/>
    <w:rsid w:val="000C58D3"/>
    <w:rsid w:val="000C7365"/>
    <w:rsid w:val="000C7744"/>
    <w:rsid w:val="000D0D1E"/>
    <w:rsid w:val="000D0D2F"/>
    <w:rsid w:val="000D1241"/>
    <w:rsid w:val="000D1373"/>
    <w:rsid w:val="000D4202"/>
    <w:rsid w:val="000D4F32"/>
    <w:rsid w:val="000D6019"/>
    <w:rsid w:val="000D6EE6"/>
    <w:rsid w:val="000D724B"/>
    <w:rsid w:val="000E005C"/>
    <w:rsid w:val="000E0356"/>
    <w:rsid w:val="000E051C"/>
    <w:rsid w:val="000E0CA3"/>
    <w:rsid w:val="000E1CBD"/>
    <w:rsid w:val="000E4726"/>
    <w:rsid w:val="000E4E40"/>
    <w:rsid w:val="000E503A"/>
    <w:rsid w:val="000E5084"/>
    <w:rsid w:val="000E5830"/>
    <w:rsid w:val="000E676F"/>
    <w:rsid w:val="000E6880"/>
    <w:rsid w:val="000E7EEC"/>
    <w:rsid w:val="000F00A3"/>
    <w:rsid w:val="000F1C37"/>
    <w:rsid w:val="000F1D01"/>
    <w:rsid w:val="000F2187"/>
    <w:rsid w:val="000F23A4"/>
    <w:rsid w:val="000F2769"/>
    <w:rsid w:val="000F41AB"/>
    <w:rsid w:val="000F43A0"/>
    <w:rsid w:val="000F45E8"/>
    <w:rsid w:val="000F620F"/>
    <w:rsid w:val="000F6AD6"/>
    <w:rsid w:val="000F76B8"/>
    <w:rsid w:val="001012DD"/>
    <w:rsid w:val="00101487"/>
    <w:rsid w:val="001043D1"/>
    <w:rsid w:val="00105ACA"/>
    <w:rsid w:val="00106EEE"/>
    <w:rsid w:val="00110AE6"/>
    <w:rsid w:val="001114C1"/>
    <w:rsid w:val="00112E84"/>
    <w:rsid w:val="00115363"/>
    <w:rsid w:val="001153EB"/>
    <w:rsid w:val="001157B1"/>
    <w:rsid w:val="00116F1C"/>
    <w:rsid w:val="001173BC"/>
    <w:rsid w:val="001202A5"/>
    <w:rsid w:val="00120CD9"/>
    <w:rsid w:val="00123631"/>
    <w:rsid w:val="00123860"/>
    <w:rsid w:val="00123DED"/>
    <w:rsid w:val="00124603"/>
    <w:rsid w:val="001246F0"/>
    <w:rsid w:val="00124731"/>
    <w:rsid w:val="00124FA1"/>
    <w:rsid w:val="00125398"/>
    <w:rsid w:val="001256B4"/>
    <w:rsid w:val="00125C3E"/>
    <w:rsid w:val="001272EE"/>
    <w:rsid w:val="00127D96"/>
    <w:rsid w:val="00130960"/>
    <w:rsid w:val="00132AAF"/>
    <w:rsid w:val="0013325D"/>
    <w:rsid w:val="0013460B"/>
    <w:rsid w:val="00135AA7"/>
    <w:rsid w:val="00135B77"/>
    <w:rsid w:val="00135F9D"/>
    <w:rsid w:val="001364DB"/>
    <w:rsid w:val="00136596"/>
    <w:rsid w:val="00137882"/>
    <w:rsid w:val="00142278"/>
    <w:rsid w:val="001435DC"/>
    <w:rsid w:val="00144B6E"/>
    <w:rsid w:val="00146F44"/>
    <w:rsid w:val="0014731B"/>
    <w:rsid w:val="0014733D"/>
    <w:rsid w:val="00150942"/>
    <w:rsid w:val="0015310C"/>
    <w:rsid w:val="00153561"/>
    <w:rsid w:val="00153B11"/>
    <w:rsid w:val="00153BC5"/>
    <w:rsid w:val="001542B3"/>
    <w:rsid w:val="00154A09"/>
    <w:rsid w:val="00154A12"/>
    <w:rsid w:val="00155A5D"/>
    <w:rsid w:val="00155FAF"/>
    <w:rsid w:val="00160198"/>
    <w:rsid w:val="0016279C"/>
    <w:rsid w:val="00164345"/>
    <w:rsid w:val="00164759"/>
    <w:rsid w:val="0016599D"/>
    <w:rsid w:val="00165B2E"/>
    <w:rsid w:val="001670E1"/>
    <w:rsid w:val="00167229"/>
    <w:rsid w:val="0016786E"/>
    <w:rsid w:val="00171728"/>
    <w:rsid w:val="00171829"/>
    <w:rsid w:val="0017200A"/>
    <w:rsid w:val="00172A82"/>
    <w:rsid w:val="00172B70"/>
    <w:rsid w:val="00172BEE"/>
    <w:rsid w:val="001744F5"/>
    <w:rsid w:val="00174D75"/>
    <w:rsid w:val="00177BD5"/>
    <w:rsid w:val="00177EF6"/>
    <w:rsid w:val="0018007A"/>
    <w:rsid w:val="00180FBF"/>
    <w:rsid w:val="001811D6"/>
    <w:rsid w:val="00181E96"/>
    <w:rsid w:val="001839C3"/>
    <w:rsid w:val="00184CD0"/>
    <w:rsid w:val="001850CE"/>
    <w:rsid w:val="001854AB"/>
    <w:rsid w:val="00185519"/>
    <w:rsid w:val="00185954"/>
    <w:rsid w:val="00187FC3"/>
    <w:rsid w:val="001902E5"/>
    <w:rsid w:val="00191631"/>
    <w:rsid w:val="00191A38"/>
    <w:rsid w:val="00192808"/>
    <w:rsid w:val="001935DE"/>
    <w:rsid w:val="0019395D"/>
    <w:rsid w:val="001942A0"/>
    <w:rsid w:val="00194C80"/>
    <w:rsid w:val="00196306"/>
    <w:rsid w:val="00197DB4"/>
    <w:rsid w:val="001A0689"/>
    <w:rsid w:val="001A0F15"/>
    <w:rsid w:val="001A2EC6"/>
    <w:rsid w:val="001A54AE"/>
    <w:rsid w:val="001A56E3"/>
    <w:rsid w:val="001A5B03"/>
    <w:rsid w:val="001A6307"/>
    <w:rsid w:val="001A68E9"/>
    <w:rsid w:val="001A6E51"/>
    <w:rsid w:val="001B079A"/>
    <w:rsid w:val="001B0E72"/>
    <w:rsid w:val="001B1212"/>
    <w:rsid w:val="001B2CF2"/>
    <w:rsid w:val="001B31BA"/>
    <w:rsid w:val="001B6AE4"/>
    <w:rsid w:val="001B7214"/>
    <w:rsid w:val="001B7F00"/>
    <w:rsid w:val="001C0143"/>
    <w:rsid w:val="001C032F"/>
    <w:rsid w:val="001C13FC"/>
    <w:rsid w:val="001C2FD9"/>
    <w:rsid w:val="001C5687"/>
    <w:rsid w:val="001C5A9F"/>
    <w:rsid w:val="001C7181"/>
    <w:rsid w:val="001C761D"/>
    <w:rsid w:val="001C7E5E"/>
    <w:rsid w:val="001D0672"/>
    <w:rsid w:val="001D0679"/>
    <w:rsid w:val="001D073E"/>
    <w:rsid w:val="001D2D9E"/>
    <w:rsid w:val="001D6BD5"/>
    <w:rsid w:val="001E2F1E"/>
    <w:rsid w:val="001E7F5D"/>
    <w:rsid w:val="001F2035"/>
    <w:rsid w:val="001F368E"/>
    <w:rsid w:val="001F5232"/>
    <w:rsid w:val="001F6886"/>
    <w:rsid w:val="001F6A0C"/>
    <w:rsid w:val="001F7351"/>
    <w:rsid w:val="0020063C"/>
    <w:rsid w:val="00201373"/>
    <w:rsid w:val="00203497"/>
    <w:rsid w:val="002039FA"/>
    <w:rsid w:val="002042B6"/>
    <w:rsid w:val="00206155"/>
    <w:rsid w:val="00211AF3"/>
    <w:rsid w:val="0021397C"/>
    <w:rsid w:val="00214E7B"/>
    <w:rsid w:val="002165F7"/>
    <w:rsid w:val="00216BA1"/>
    <w:rsid w:val="002171EA"/>
    <w:rsid w:val="002171F3"/>
    <w:rsid w:val="00217AB5"/>
    <w:rsid w:val="002213EB"/>
    <w:rsid w:val="0022182F"/>
    <w:rsid w:val="0022320E"/>
    <w:rsid w:val="00223934"/>
    <w:rsid w:val="00223FAD"/>
    <w:rsid w:val="002242BC"/>
    <w:rsid w:val="002262CB"/>
    <w:rsid w:val="00226A65"/>
    <w:rsid w:val="00226AC7"/>
    <w:rsid w:val="002274DB"/>
    <w:rsid w:val="00227C61"/>
    <w:rsid w:val="00230EBF"/>
    <w:rsid w:val="0023243A"/>
    <w:rsid w:val="00233283"/>
    <w:rsid w:val="00234FA1"/>
    <w:rsid w:val="002357C6"/>
    <w:rsid w:val="00236613"/>
    <w:rsid w:val="0023688E"/>
    <w:rsid w:val="00236E64"/>
    <w:rsid w:val="00241312"/>
    <w:rsid w:val="002438EC"/>
    <w:rsid w:val="00243BEC"/>
    <w:rsid w:val="00244947"/>
    <w:rsid w:val="00244B9E"/>
    <w:rsid w:val="00245439"/>
    <w:rsid w:val="00245441"/>
    <w:rsid w:val="00245789"/>
    <w:rsid w:val="0024662C"/>
    <w:rsid w:val="00246B2E"/>
    <w:rsid w:val="00250BA7"/>
    <w:rsid w:val="002510EB"/>
    <w:rsid w:val="002529DD"/>
    <w:rsid w:val="00253916"/>
    <w:rsid w:val="002550A0"/>
    <w:rsid w:val="00255234"/>
    <w:rsid w:val="002562D3"/>
    <w:rsid w:val="002563AB"/>
    <w:rsid w:val="00263A89"/>
    <w:rsid w:val="0026591B"/>
    <w:rsid w:val="00265C8C"/>
    <w:rsid w:val="00265D1A"/>
    <w:rsid w:val="002661E9"/>
    <w:rsid w:val="00270D68"/>
    <w:rsid w:val="002730B1"/>
    <w:rsid w:val="00273E6E"/>
    <w:rsid w:val="00274D0C"/>
    <w:rsid w:val="00275562"/>
    <w:rsid w:val="00276CCD"/>
    <w:rsid w:val="00280775"/>
    <w:rsid w:val="002814D0"/>
    <w:rsid w:val="00281D81"/>
    <w:rsid w:val="002823A7"/>
    <w:rsid w:val="00282F66"/>
    <w:rsid w:val="002852DB"/>
    <w:rsid w:val="00285449"/>
    <w:rsid w:val="0028565F"/>
    <w:rsid w:val="0028611B"/>
    <w:rsid w:val="00287250"/>
    <w:rsid w:val="0028791A"/>
    <w:rsid w:val="00290ED1"/>
    <w:rsid w:val="00291166"/>
    <w:rsid w:val="00291B1E"/>
    <w:rsid w:val="00292B05"/>
    <w:rsid w:val="00293282"/>
    <w:rsid w:val="002934D1"/>
    <w:rsid w:val="00293659"/>
    <w:rsid w:val="002953A8"/>
    <w:rsid w:val="002959ED"/>
    <w:rsid w:val="00295A6C"/>
    <w:rsid w:val="0029694F"/>
    <w:rsid w:val="00297C0C"/>
    <w:rsid w:val="002A163E"/>
    <w:rsid w:val="002A215D"/>
    <w:rsid w:val="002A3608"/>
    <w:rsid w:val="002A3AD6"/>
    <w:rsid w:val="002A3C0B"/>
    <w:rsid w:val="002A6535"/>
    <w:rsid w:val="002A708F"/>
    <w:rsid w:val="002A7E19"/>
    <w:rsid w:val="002B00E7"/>
    <w:rsid w:val="002B1020"/>
    <w:rsid w:val="002B3255"/>
    <w:rsid w:val="002B362B"/>
    <w:rsid w:val="002B4C65"/>
    <w:rsid w:val="002B520D"/>
    <w:rsid w:val="002B6993"/>
    <w:rsid w:val="002C0E46"/>
    <w:rsid w:val="002C1A65"/>
    <w:rsid w:val="002C2425"/>
    <w:rsid w:val="002C32A7"/>
    <w:rsid w:val="002C5FD4"/>
    <w:rsid w:val="002C7494"/>
    <w:rsid w:val="002C7AA3"/>
    <w:rsid w:val="002D0C3B"/>
    <w:rsid w:val="002D1783"/>
    <w:rsid w:val="002D1866"/>
    <w:rsid w:val="002D2999"/>
    <w:rsid w:val="002D374F"/>
    <w:rsid w:val="002D4190"/>
    <w:rsid w:val="002D623A"/>
    <w:rsid w:val="002D6D50"/>
    <w:rsid w:val="002D7F28"/>
    <w:rsid w:val="002E1A9B"/>
    <w:rsid w:val="002E1CF7"/>
    <w:rsid w:val="002E2E28"/>
    <w:rsid w:val="002E3D9D"/>
    <w:rsid w:val="002E4217"/>
    <w:rsid w:val="002E52FD"/>
    <w:rsid w:val="002E5873"/>
    <w:rsid w:val="002E5C80"/>
    <w:rsid w:val="002E6175"/>
    <w:rsid w:val="002E667A"/>
    <w:rsid w:val="002E6E5D"/>
    <w:rsid w:val="002E7AE9"/>
    <w:rsid w:val="002F04C5"/>
    <w:rsid w:val="002F115B"/>
    <w:rsid w:val="002F23F6"/>
    <w:rsid w:val="002F3AC4"/>
    <w:rsid w:val="002F3B8F"/>
    <w:rsid w:val="002F427C"/>
    <w:rsid w:val="002F5214"/>
    <w:rsid w:val="002F5FF2"/>
    <w:rsid w:val="002F6EE7"/>
    <w:rsid w:val="00301F2C"/>
    <w:rsid w:val="0030238A"/>
    <w:rsid w:val="0030239B"/>
    <w:rsid w:val="00303BF0"/>
    <w:rsid w:val="00303E15"/>
    <w:rsid w:val="00303F03"/>
    <w:rsid w:val="00305634"/>
    <w:rsid w:val="00306452"/>
    <w:rsid w:val="00306F1D"/>
    <w:rsid w:val="00310D5C"/>
    <w:rsid w:val="003120F7"/>
    <w:rsid w:val="00312329"/>
    <w:rsid w:val="00312A0E"/>
    <w:rsid w:val="003142B0"/>
    <w:rsid w:val="00314385"/>
    <w:rsid w:val="00314451"/>
    <w:rsid w:val="0031500A"/>
    <w:rsid w:val="00315ACA"/>
    <w:rsid w:val="00316B63"/>
    <w:rsid w:val="00317F1B"/>
    <w:rsid w:val="00320085"/>
    <w:rsid w:val="003201F2"/>
    <w:rsid w:val="00320E10"/>
    <w:rsid w:val="0032170A"/>
    <w:rsid w:val="003218FC"/>
    <w:rsid w:val="00321DB0"/>
    <w:rsid w:val="0032248A"/>
    <w:rsid w:val="0032342B"/>
    <w:rsid w:val="00324F0E"/>
    <w:rsid w:val="00326DD4"/>
    <w:rsid w:val="00327E64"/>
    <w:rsid w:val="00330947"/>
    <w:rsid w:val="00331250"/>
    <w:rsid w:val="00331971"/>
    <w:rsid w:val="00331EBC"/>
    <w:rsid w:val="00332BF1"/>
    <w:rsid w:val="003336C0"/>
    <w:rsid w:val="00333B8A"/>
    <w:rsid w:val="00333F5A"/>
    <w:rsid w:val="00334906"/>
    <w:rsid w:val="00334FBD"/>
    <w:rsid w:val="00335B33"/>
    <w:rsid w:val="003402BA"/>
    <w:rsid w:val="0034235D"/>
    <w:rsid w:val="00346681"/>
    <w:rsid w:val="0034690D"/>
    <w:rsid w:val="00347744"/>
    <w:rsid w:val="00347FF1"/>
    <w:rsid w:val="00347FF9"/>
    <w:rsid w:val="003504A6"/>
    <w:rsid w:val="00352940"/>
    <w:rsid w:val="00356216"/>
    <w:rsid w:val="003614D4"/>
    <w:rsid w:val="00363262"/>
    <w:rsid w:val="00365853"/>
    <w:rsid w:val="00373186"/>
    <w:rsid w:val="003734F3"/>
    <w:rsid w:val="003747BE"/>
    <w:rsid w:val="003749B6"/>
    <w:rsid w:val="00375F46"/>
    <w:rsid w:val="003761B0"/>
    <w:rsid w:val="003765ED"/>
    <w:rsid w:val="0037774C"/>
    <w:rsid w:val="00382142"/>
    <w:rsid w:val="00382CD4"/>
    <w:rsid w:val="00384279"/>
    <w:rsid w:val="00385628"/>
    <w:rsid w:val="0038729A"/>
    <w:rsid w:val="0039038F"/>
    <w:rsid w:val="00391009"/>
    <w:rsid w:val="003937F6"/>
    <w:rsid w:val="00393B53"/>
    <w:rsid w:val="0039510B"/>
    <w:rsid w:val="0039730A"/>
    <w:rsid w:val="0039796B"/>
    <w:rsid w:val="003A1C61"/>
    <w:rsid w:val="003A20AF"/>
    <w:rsid w:val="003A237B"/>
    <w:rsid w:val="003A4BC4"/>
    <w:rsid w:val="003A4F71"/>
    <w:rsid w:val="003A61C6"/>
    <w:rsid w:val="003A68DC"/>
    <w:rsid w:val="003A6BBD"/>
    <w:rsid w:val="003A6F76"/>
    <w:rsid w:val="003B0EB8"/>
    <w:rsid w:val="003B1B76"/>
    <w:rsid w:val="003B2665"/>
    <w:rsid w:val="003B2B0A"/>
    <w:rsid w:val="003B507C"/>
    <w:rsid w:val="003B57FC"/>
    <w:rsid w:val="003B5EAF"/>
    <w:rsid w:val="003B60A9"/>
    <w:rsid w:val="003B627B"/>
    <w:rsid w:val="003B6D70"/>
    <w:rsid w:val="003C008D"/>
    <w:rsid w:val="003C0961"/>
    <w:rsid w:val="003C0F0D"/>
    <w:rsid w:val="003C1016"/>
    <w:rsid w:val="003C181C"/>
    <w:rsid w:val="003C1F08"/>
    <w:rsid w:val="003C42E1"/>
    <w:rsid w:val="003C5148"/>
    <w:rsid w:val="003C555C"/>
    <w:rsid w:val="003C5999"/>
    <w:rsid w:val="003C5BFF"/>
    <w:rsid w:val="003C73D7"/>
    <w:rsid w:val="003C7780"/>
    <w:rsid w:val="003C7888"/>
    <w:rsid w:val="003D12BD"/>
    <w:rsid w:val="003D21CA"/>
    <w:rsid w:val="003D2645"/>
    <w:rsid w:val="003D52CE"/>
    <w:rsid w:val="003D6486"/>
    <w:rsid w:val="003D69B6"/>
    <w:rsid w:val="003D734D"/>
    <w:rsid w:val="003D7BA0"/>
    <w:rsid w:val="003D7FCE"/>
    <w:rsid w:val="003E03D6"/>
    <w:rsid w:val="003E386F"/>
    <w:rsid w:val="003E4714"/>
    <w:rsid w:val="003E4909"/>
    <w:rsid w:val="003E4C25"/>
    <w:rsid w:val="003E63F3"/>
    <w:rsid w:val="003E6C3C"/>
    <w:rsid w:val="003E788D"/>
    <w:rsid w:val="003F1866"/>
    <w:rsid w:val="003F35D8"/>
    <w:rsid w:val="003F4059"/>
    <w:rsid w:val="003F42A1"/>
    <w:rsid w:val="003F4669"/>
    <w:rsid w:val="003F47FA"/>
    <w:rsid w:val="003F5A16"/>
    <w:rsid w:val="003F6D3E"/>
    <w:rsid w:val="003F7EBD"/>
    <w:rsid w:val="00400E57"/>
    <w:rsid w:val="0040117F"/>
    <w:rsid w:val="00402DC7"/>
    <w:rsid w:val="0040349E"/>
    <w:rsid w:val="00403C08"/>
    <w:rsid w:val="00406FC5"/>
    <w:rsid w:val="00407D40"/>
    <w:rsid w:val="00410043"/>
    <w:rsid w:val="0041023C"/>
    <w:rsid w:val="00410784"/>
    <w:rsid w:val="0041148D"/>
    <w:rsid w:val="00411B94"/>
    <w:rsid w:val="00413688"/>
    <w:rsid w:val="00413C1E"/>
    <w:rsid w:val="004161C2"/>
    <w:rsid w:val="00416E96"/>
    <w:rsid w:val="00417554"/>
    <w:rsid w:val="00417F70"/>
    <w:rsid w:val="00420475"/>
    <w:rsid w:val="00420AFF"/>
    <w:rsid w:val="00420B97"/>
    <w:rsid w:val="00421057"/>
    <w:rsid w:val="00421889"/>
    <w:rsid w:val="0042294C"/>
    <w:rsid w:val="00423779"/>
    <w:rsid w:val="00423CDC"/>
    <w:rsid w:val="00424137"/>
    <w:rsid w:val="00426970"/>
    <w:rsid w:val="00436CC2"/>
    <w:rsid w:val="00437C3B"/>
    <w:rsid w:val="004404D2"/>
    <w:rsid w:val="004406D4"/>
    <w:rsid w:val="004420DB"/>
    <w:rsid w:val="004425EB"/>
    <w:rsid w:val="00442A86"/>
    <w:rsid w:val="004436B4"/>
    <w:rsid w:val="00443993"/>
    <w:rsid w:val="00444FDF"/>
    <w:rsid w:val="0044590B"/>
    <w:rsid w:val="00446725"/>
    <w:rsid w:val="00450C70"/>
    <w:rsid w:val="004525EB"/>
    <w:rsid w:val="00453DCD"/>
    <w:rsid w:val="00455855"/>
    <w:rsid w:val="004571DF"/>
    <w:rsid w:val="00457A8E"/>
    <w:rsid w:val="00461835"/>
    <w:rsid w:val="00462722"/>
    <w:rsid w:val="00462CEE"/>
    <w:rsid w:val="00462EB8"/>
    <w:rsid w:val="0046374D"/>
    <w:rsid w:val="004656C7"/>
    <w:rsid w:val="00471717"/>
    <w:rsid w:val="00472FEE"/>
    <w:rsid w:val="0047354F"/>
    <w:rsid w:val="00474080"/>
    <w:rsid w:val="0047510B"/>
    <w:rsid w:val="00475D45"/>
    <w:rsid w:val="004760A0"/>
    <w:rsid w:val="004820AD"/>
    <w:rsid w:val="00482E8E"/>
    <w:rsid w:val="004846AE"/>
    <w:rsid w:val="00484750"/>
    <w:rsid w:val="00485531"/>
    <w:rsid w:val="00486FDB"/>
    <w:rsid w:val="00490621"/>
    <w:rsid w:val="00491EA7"/>
    <w:rsid w:val="004925E8"/>
    <w:rsid w:val="004935D9"/>
    <w:rsid w:val="0049548A"/>
    <w:rsid w:val="004956E7"/>
    <w:rsid w:val="00495A36"/>
    <w:rsid w:val="00496975"/>
    <w:rsid w:val="004A04D0"/>
    <w:rsid w:val="004A0858"/>
    <w:rsid w:val="004A0C8D"/>
    <w:rsid w:val="004A1FDD"/>
    <w:rsid w:val="004A2833"/>
    <w:rsid w:val="004A4F74"/>
    <w:rsid w:val="004A5988"/>
    <w:rsid w:val="004A5A55"/>
    <w:rsid w:val="004A5D8B"/>
    <w:rsid w:val="004A6EF2"/>
    <w:rsid w:val="004A7BD7"/>
    <w:rsid w:val="004B231B"/>
    <w:rsid w:val="004B3354"/>
    <w:rsid w:val="004B35CE"/>
    <w:rsid w:val="004B4B3D"/>
    <w:rsid w:val="004B5CC1"/>
    <w:rsid w:val="004B5ECD"/>
    <w:rsid w:val="004B6A55"/>
    <w:rsid w:val="004B774E"/>
    <w:rsid w:val="004C24F4"/>
    <w:rsid w:val="004C2F00"/>
    <w:rsid w:val="004C3ACC"/>
    <w:rsid w:val="004C57D3"/>
    <w:rsid w:val="004C5CF4"/>
    <w:rsid w:val="004C6272"/>
    <w:rsid w:val="004D1397"/>
    <w:rsid w:val="004D19AF"/>
    <w:rsid w:val="004D22F4"/>
    <w:rsid w:val="004D25E5"/>
    <w:rsid w:val="004D318E"/>
    <w:rsid w:val="004D3D5D"/>
    <w:rsid w:val="004D52D0"/>
    <w:rsid w:val="004D6EB1"/>
    <w:rsid w:val="004D79F9"/>
    <w:rsid w:val="004D7A7E"/>
    <w:rsid w:val="004E04A0"/>
    <w:rsid w:val="004E0F89"/>
    <w:rsid w:val="004E3583"/>
    <w:rsid w:val="004E363B"/>
    <w:rsid w:val="004E3A6E"/>
    <w:rsid w:val="004E691A"/>
    <w:rsid w:val="004E7F95"/>
    <w:rsid w:val="004F00A8"/>
    <w:rsid w:val="004F0F12"/>
    <w:rsid w:val="004F2254"/>
    <w:rsid w:val="004F2CD2"/>
    <w:rsid w:val="004F3057"/>
    <w:rsid w:val="004F3ACD"/>
    <w:rsid w:val="004F4A3B"/>
    <w:rsid w:val="004F5945"/>
    <w:rsid w:val="004F6977"/>
    <w:rsid w:val="004F7879"/>
    <w:rsid w:val="0050091D"/>
    <w:rsid w:val="00500F00"/>
    <w:rsid w:val="0050101C"/>
    <w:rsid w:val="005025B2"/>
    <w:rsid w:val="005028C7"/>
    <w:rsid w:val="00503797"/>
    <w:rsid w:val="005047D9"/>
    <w:rsid w:val="00504A10"/>
    <w:rsid w:val="00505B6C"/>
    <w:rsid w:val="00511798"/>
    <w:rsid w:val="00511D98"/>
    <w:rsid w:val="00513900"/>
    <w:rsid w:val="00513EDA"/>
    <w:rsid w:val="00513EFE"/>
    <w:rsid w:val="0051500E"/>
    <w:rsid w:val="005201AC"/>
    <w:rsid w:val="0052097B"/>
    <w:rsid w:val="005224B0"/>
    <w:rsid w:val="00524CFD"/>
    <w:rsid w:val="005258B8"/>
    <w:rsid w:val="00527265"/>
    <w:rsid w:val="00531F34"/>
    <w:rsid w:val="005336FC"/>
    <w:rsid w:val="005340DB"/>
    <w:rsid w:val="005346A2"/>
    <w:rsid w:val="00537B65"/>
    <w:rsid w:val="005408FE"/>
    <w:rsid w:val="00541428"/>
    <w:rsid w:val="00541DC3"/>
    <w:rsid w:val="00542671"/>
    <w:rsid w:val="00542AF7"/>
    <w:rsid w:val="00542C7C"/>
    <w:rsid w:val="00543C71"/>
    <w:rsid w:val="0054493C"/>
    <w:rsid w:val="0054500D"/>
    <w:rsid w:val="00545B2F"/>
    <w:rsid w:val="00545E05"/>
    <w:rsid w:val="0054615E"/>
    <w:rsid w:val="005477A5"/>
    <w:rsid w:val="005505D5"/>
    <w:rsid w:val="0055076E"/>
    <w:rsid w:val="00550EE0"/>
    <w:rsid w:val="005530A1"/>
    <w:rsid w:val="00556399"/>
    <w:rsid w:val="0055643A"/>
    <w:rsid w:val="00556B4E"/>
    <w:rsid w:val="00557D45"/>
    <w:rsid w:val="005618CA"/>
    <w:rsid w:val="00561D1E"/>
    <w:rsid w:val="0056275C"/>
    <w:rsid w:val="00564AF1"/>
    <w:rsid w:val="00564E6F"/>
    <w:rsid w:val="005652F1"/>
    <w:rsid w:val="0056616B"/>
    <w:rsid w:val="00566B1A"/>
    <w:rsid w:val="0056700E"/>
    <w:rsid w:val="005674B9"/>
    <w:rsid w:val="00570040"/>
    <w:rsid w:val="00570AB5"/>
    <w:rsid w:val="005711F5"/>
    <w:rsid w:val="005740D9"/>
    <w:rsid w:val="00574170"/>
    <w:rsid w:val="00574B7B"/>
    <w:rsid w:val="00575C53"/>
    <w:rsid w:val="00583EDF"/>
    <w:rsid w:val="00583FD2"/>
    <w:rsid w:val="0058446E"/>
    <w:rsid w:val="00585310"/>
    <w:rsid w:val="00586801"/>
    <w:rsid w:val="00587B8C"/>
    <w:rsid w:val="00590FDF"/>
    <w:rsid w:val="00591C28"/>
    <w:rsid w:val="005926F2"/>
    <w:rsid w:val="00594A5C"/>
    <w:rsid w:val="00594F74"/>
    <w:rsid w:val="005958BB"/>
    <w:rsid w:val="0059682A"/>
    <w:rsid w:val="005969DC"/>
    <w:rsid w:val="005976EE"/>
    <w:rsid w:val="005A259C"/>
    <w:rsid w:val="005A2FA0"/>
    <w:rsid w:val="005A380E"/>
    <w:rsid w:val="005A4882"/>
    <w:rsid w:val="005A5214"/>
    <w:rsid w:val="005A61D7"/>
    <w:rsid w:val="005A7D7A"/>
    <w:rsid w:val="005A7F88"/>
    <w:rsid w:val="005B0B86"/>
    <w:rsid w:val="005B1A47"/>
    <w:rsid w:val="005B339D"/>
    <w:rsid w:val="005B339E"/>
    <w:rsid w:val="005B3B21"/>
    <w:rsid w:val="005B4164"/>
    <w:rsid w:val="005B5B0C"/>
    <w:rsid w:val="005B6016"/>
    <w:rsid w:val="005B6218"/>
    <w:rsid w:val="005B7186"/>
    <w:rsid w:val="005B7639"/>
    <w:rsid w:val="005B7FAE"/>
    <w:rsid w:val="005C032B"/>
    <w:rsid w:val="005C12FD"/>
    <w:rsid w:val="005C1929"/>
    <w:rsid w:val="005C2462"/>
    <w:rsid w:val="005C3AD0"/>
    <w:rsid w:val="005C4A59"/>
    <w:rsid w:val="005C5539"/>
    <w:rsid w:val="005C7F95"/>
    <w:rsid w:val="005D0168"/>
    <w:rsid w:val="005D0D3D"/>
    <w:rsid w:val="005D0DD9"/>
    <w:rsid w:val="005D1996"/>
    <w:rsid w:val="005D262F"/>
    <w:rsid w:val="005D2ADC"/>
    <w:rsid w:val="005D2EAA"/>
    <w:rsid w:val="005D3452"/>
    <w:rsid w:val="005D3663"/>
    <w:rsid w:val="005D3700"/>
    <w:rsid w:val="005D4E08"/>
    <w:rsid w:val="005D582B"/>
    <w:rsid w:val="005D5A90"/>
    <w:rsid w:val="005D6341"/>
    <w:rsid w:val="005D701B"/>
    <w:rsid w:val="005E386C"/>
    <w:rsid w:val="005E406A"/>
    <w:rsid w:val="005E51D4"/>
    <w:rsid w:val="005E6E9B"/>
    <w:rsid w:val="005F3244"/>
    <w:rsid w:val="005F3D42"/>
    <w:rsid w:val="005F405F"/>
    <w:rsid w:val="005F4881"/>
    <w:rsid w:val="005F6C97"/>
    <w:rsid w:val="005F7307"/>
    <w:rsid w:val="005F767F"/>
    <w:rsid w:val="005F7967"/>
    <w:rsid w:val="005F7B60"/>
    <w:rsid w:val="006003F0"/>
    <w:rsid w:val="00601806"/>
    <w:rsid w:val="00603906"/>
    <w:rsid w:val="00603FFE"/>
    <w:rsid w:val="00604403"/>
    <w:rsid w:val="00604FE1"/>
    <w:rsid w:val="00605EC1"/>
    <w:rsid w:val="00606BBB"/>
    <w:rsid w:val="00611A9D"/>
    <w:rsid w:val="00611BAC"/>
    <w:rsid w:val="006123FC"/>
    <w:rsid w:val="00613EA6"/>
    <w:rsid w:val="00613EE1"/>
    <w:rsid w:val="0061455B"/>
    <w:rsid w:val="00614A06"/>
    <w:rsid w:val="00614E88"/>
    <w:rsid w:val="00615D51"/>
    <w:rsid w:val="00617182"/>
    <w:rsid w:val="0062020A"/>
    <w:rsid w:val="00620AD7"/>
    <w:rsid w:val="00620FBB"/>
    <w:rsid w:val="006222DD"/>
    <w:rsid w:val="00622EA0"/>
    <w:rsid w:val="00623065"/>
    <w:rsid w:val="00624AB1"/>
    <w:rsid w:val="00625557"/>
    <w:rsid w:val="00626CFA"/>
    <w:rsid w:val="006271CA"/>
    <w:rsid w:val="00631471"/>
    <w:rsid w:val="006316D4"/>
    <w:rsid w:val="00631AE2"/>
    <w:rsid w:val="00631EB3"/>
    <w:rsid w:val="006325A9"/>
    <w:rsid w:val="00632EC6"/>
    <w:rsid w:val="00633533"/>
    <w:rsid w:val="00635E3A"/>
    <w:rsid w:val="00636462"/>
    <w:rsid w:val="00636C0A"/>
    <w:rsid w:val="00636F55"/>
    <w:rsid w:val="006378E2"/>
    <w:rsid w:val="006400BC"/>
    <w:rsid w:val="00641B29"/>
    <w:rsid w:val="00642552"/>
    <w:rsid w:val="006439F7"/>
    <w:rsid w:val="006441C4"/>
    <w:rsid w:val="00644576"/>
    <w:rsid w:val="00645C14"/>
    <w:rsid w:val="00646398"/>
    <w:rsid w:val="00646AAC"/>
    <w:rsid w:val="0065069B"/>
    <w:rsid w:val="00650E2D"/>
    <w:rsid w:val="00651273"/>
    <w:rsid w:val="0065322B"/>
    <w:rsid w:val="0065414B"/>
    <w:rsid w:val="00655C7D"/>
    <w:rsid w:val="00655D1F"/>
    <w:rsid w:val="00656276"/>
    <w:rsid w:val="00656A05"/>
    <w:rsid w:val="006604FE"/>
    <w:rsid w:val="00660DBC"/>
    <w:rsid w:val="00660E5B"/>
    <w:rsid w:val="00660F47"/>
    <w:rsid w:val="00661DB7"/>
    <w:rsid w:val="0066234A"/>
    <w:rsid w:val="00664BEF"/>
    <w:rsid w:val="00664EFC"/>
    <w:rsid w:val="006673F1"/>
    <w:rsid w:val="00667557"/>
    <w:rsid w:val="0067015D"/>
    <w:rsid w:val="00670289"/>
    <w:rsid w:val="00670543"/>
    <w:rsid w:val="006706FF"/>
    <w:rsid w:val="006708A9"/>
    <w:rsid w:val="00671BE0"/>
    <w:rsid w:val="0067422B"/>
    <w:rsid w:val="00674B1C"/>
    <w:rsid w:val="006849CC"/>
    <w:rsid w:val="00684C2F"/>
    <w:rsid w:val="00684F69"/>
    <w:rsid w:val="00686283"/>
    <w:rsid w:val="00686441"/>
    <w:rsid w:val="006864EF"/>
    <w:rsid w:val="006878F9"/>
    <w:rsid w:val="006902DC"/>
    <w:rsid w:val="00690D8D"/>
    <w:rsid w:val="00691E4F"/>
    <w:rsid w:val="00692E01"/>
    <w:rsid w:val="00694215"/>
    <w:rsid w:val="00694326"/>
    <w:rsid w:val="00695DEA"/>
    <w:rsid w:val="00695F1C"/>
    <w:rsid w:val="006A143A"/>
    <w:rsid w:val="006A3D5D"/>
    <w:rsid w:val="006A49C0"/>
    <w:rsid w:val="006A598C"/>
    <w:rsid w:val="006A632F"/>
    <w:rsid w:val="006A648A"/>
    <w:rsid w:val="006A6FAF"/>
    <w:rsid w:val="006A7F1E"/>
    <w:rsid w:val="006B05BC"/>
    <w:rsid w:val="006B189D"/>
    <w:rsid w:val="006B3EF5"/>
    <w:rsid w:val="006B419D"/>
    <w:rsid w:val="006B7CB8"/>
    <w:rsid w:val="006C0A2C"/>
    <w:rsid w:val="006C18D5"/>
    <w:rsid w:val="006C1D83"/>
    <w:rsid w:val="006C2E48"/>
    <w:rsid w:val="006C2EE9"/>
    <w:rsid w:val="006C3914"/>
    <w:rsid w:val="006C3C41"/>
    <w:rsid w:val="006C4F43"/>
    <w:rsid w:val="006C59ED"/>
    <w:rsid w:val="006C64C8"/>
    <w:rsid w:val="006C6594"/>
    <w:rsid w:val="006D4CF0"/>
    <w:rsid w:val="006D512A"/>
    <w:rsid w:val="006D55ED"/>
    <w:rsid w:val="006D607E"/>
    <w:rsid w:val="006D6999"/>
    <w:rsid w:val="006D6A19"/>
    <w:rsid w:val="006E05EE"/>
    <w:rsid w:val="006E0651"/>
    <w:rsid w:val="006E2467"/>
    <w:rsid w:val="006E2515"/>
    <w:rsid w:val="006E4051"/>
    <w:rsid w:val="006E4A19"/>
    <w:rsid w:val="006E4EDC"/>
    <w:rsid w:val="006E6862"/>
    <w:rsid w:val="006E7458"/>
    <w:rsid w:val="006F04C5"/>
    <w:rsid w:val="006F3022"/>
    <w:rsid w:val="006F42EB"/>
    <w:rsid w:val="006F5276"/>
    <w:rsid w:val="006F669C"/>
    <w:rsid w:val="006F73EA"/>
    <w:rsid w:val="006F7475"/>
    <w:rsid w:val="00700E96"/>
    <w:rsid w:val="0070200F"/>
    <w:rsid w:val="00703B4D"/>
    <w:rsid w:val="00703F28"/>
    <w:rsid w:val="00705342"/>
    <w:rsid w:val="00705E15"/>
    <w:rsid w:val="0071068B"/>
    <w:rsid w:val="007124DD"/>
    <w:rsid w:val="00713AFC"/>
    <w:rsid w:val="007142D8"/>
    <w:rsid w:val="00714F4F"/>
    <w:rsid w:val="00715B01"/>
    <w:rsid w:val="0071661E"/>
    <w:rsid w:val="00717A5E"/>
    <w:rsid w:val="0072011B"/>
    <w:rsid w:val="00721C1F"/>
    <w:rsid w:val="00723D0A"/>
    <w:rsid w:val="0072456B"/>
    <w:rsid w:val="00725D71"/>
    <w:rsid w:val="00727756"/>
    <w:rsid w:val="00727C8D"/>
    <w:rsid w:val="00731C8C"/>
    <w:rsid w:val="00732E84"/>
    <w:rsid w:val="00732E9D"/>
    <w:rsid w:val="007331A8"/>
    <w:rsid w:val="0073353F"/>
    <w:rsid w:val="00733CFE"/>
    <w:rsid w:val="00734733"/>
    <w:rsid w:val="00735C01"/>
    <w:rsid w:val="00737006"/>
    <w:rsid w:val="00737F0F"/>
    <w:rsid w:val="00740DF2"/>
    <w:rsid w:val="007417B0"/>
    <w:rsid w:val="007417E8"/>
    <w:rsid w:val="0074232F"/>
    <w:rsid w:val="00742892"/>
    <w:rsid w:val="007428D1"/>
    <w:rsid w:val="00742B10"/>
    <w:rsid w:val="00743FE2"/>
    <w:rsid w:val="007452E6"/>
    <w:rsid w:val="00745337"/>
    <w:rsid w:val="007474F4"/>
    <w:rsid w:val="0075138F"/>
    <w:rsid w:val="0075459E"/>
    <w:rsid w:val="00754C21"/>
    <w:rsid w:val="00755C41"/>
    <w:rsid w:val="00757B96"/>
    <w:rsid w:val="007623B1"/>
    <w:rsid w:val="007631EB"/>
    <w:rsid w:val="00763531"/>
    <w:rsid w:val="00763C76"/>
    <w:rsid w:val="007670EB"/>
    <w:rsid w:val="00767349"/>
    <w:rsid w:val="00767C9C"/>
    <w:rsid w:val="0077073D"/>
    <w:rsid w:val="007721F7"/>
    <w:rsid w:val="00772E92"/>
    <w:rsid w:val="00773635"/>
    <w:rsid w:val="00774211"/>
    <w:rsid w:val="007748CE"/>
    <w:rsid w:val="00774EF9"/>
    <w:rsid w:val="00775D0D"/>
    <w:rsid w:val="00776F12"/>
    <w:rsid w:val="0077760B"/>
    <w:rsid w:val="00777868"/>
    <w:rsid w:val="007778C6"/>
    <w:rsid w:val="00780EFD"/>
    <w:rsid w:val="007822B2"/>
    <w:rsid w:val="00784574"/>
    <w:rsid w:val="00786897"/>
    <w:rsid w:val="00786BEA"/>
    <w:rsid w:val="00790852"/>
    <w:rsid w:val="00791DDD"/>
    <w:rsid w:val="00791EA0"/>
    <w:rsid w:val="00792FF7"/>
    <w:rsid w:val="007956AB"/>
    <w:rsid w:val="00796385"/>
    <w:rsid w:val="00796D7A"/>
    <w:rsid w:val="007A0DAF"/>
    <w:rsid w:val="007A0EAE"/>
    <w:rsid w:val="007A0EC1"/>
    <w:rsid w:val="007A20E0"/>
    <w:rsid w:val="007A2B35"/>
    <w:rsid w:val="007A42A4"/>
    <w:rsid w:val="007A42E0"/>
    <w:rsid w:val="007A4D1E"/>
    <w:rsid w:val="007A599C"/>
    <w:rsid w:val="007A61D6"/>
    <w:rsid w:val="007A6A08"/>
    <w:rsid w:val="007A6EC0"/>
    <w:rsid w:val="007A72EF"/>
    <w:rsid w:val="007A7DB1"/>
    <w:rsid w:val="007A7FAB"/>
    <w:rsid w:val="007B2016"/>
    <w:rsid w:val="007B3637"/>
    <w:rsid w:val="007B696D"/>
    <w:rsid w:val="007B6B91"/>
    <w:rsid w:val="007B6C32"/>
    <w:rsid w:val="007B71CE"/>
    <w:rsid w:val="007B7458"/>
    <w:rsid w:val="007C06B2"/>
    <w:rsid w:val="007C0E2F"/>
    <w:rsid w:val="007C1B91"/>
    <w:rsid w:val="007C2737"/>
    <w:rsid w:val="007C27F3"/>
    <w:rsid w:val="007C3339"/>
    <w:rsid w:val="007C3A14"/>
    <w:rsid w:val="007C3E52"/>
    <w:rsid w:val="007C475E"/>
    <w:rsid w:val="007C7DB4"/>
    <w:rsid w:val="007C7DEA"/>
    <w:rsid w:val="007D11A7"/>
    <w:rsid w:val="007D1F5F"/>
    <w:rsid w:val="007D57A2"/>
    <w:rsid w:val="007D72E3"/>
    <w:rsid w:val="007D74AB"/>
    <w:rsid w:val="007D7DC2"/>
    <w:rsid w:val="007E0F85"/>
    <w:rsid w:val="007E39D3"/>
    <w:rsid w:val="007E4599"/>
    <w:rsid w:val="007E5CDE"/>
    <w:rsid w:val="007E612F"/>
    <w:rsid w:val="007E6776"/>
    <w:rsid w:val="007E72C8"/>
    <w:rsid w:val="007F0AD1"/>
    <w:rsid w:val="007F3DC9"/>
    <w:rsid w:val="007F3ED8"/>
    <w:rsid w:val="007F6172"/>
    <w:rsid w:val="007F7083"/>
    <w:rsid w:val="00800C9B"/>
    <w:rsid w:val="00803A8B"/>
    <w:rsid w:val="008040BD"/>
    <w:rsid w:val="008041C0"/>
    <w:rsid w:val="0080459E"/>
    <w:rsid w:val="008045E2"/>
    <w:rsid w:val="00805097"/>
    <w:rsid w:val="00806323"/>
    <w:rsid w:val="00806A00"/>
    <w:rsid w:val="00806D65"/>
    <w:rsid w:val="008074E7"/>
    <w:rsid w:val="008079DB"/>
    <w:rsid w:val="00810A3A"/>
    <w:rsid w:val="00811359"/>
    <w:rsid w:val="00812783"/>
    <w:rsid w:val="0081287D"/>
    <w:rsid w:val="0081332E"/>
    <w:rsid w:val="008138D1"/>
    <w:rsid w:val="008144BF"/>
    <w:rsid w:val="008171F4"/>
    <w:rsid w:val="00817856"/>
    <w:rsid w:val="00820696"/>
    <w:rsid w:val="00820C7C"/>
    <w:rsid w:val="00820EA9"/>
    <w:rsid w:val="00820FB8"/>
    <w:rsid w:val="00821DF6"/>
    <w:rsid w:val="008223C3"/>
    <w:rsid w:val="008230B6"/>
    <w:rsid w:val="008235E7"/>
    <w:rsid w:val="0082418C"/>
    <w:rsid w:val="008247C0"/>
    <w:rsid w:val="00824BB1"/>
    <w:rsid w:val="008255AF"/>
    <w:rsid w:val="00826FFF"/>
    <w:rsid w:val="00827946"/>
    <w:rsid w:val="00831528"/>
    <w:rsid w:val="00831D44"/>
    <w:rsid w:val="0083220C"/>
    <w:rsid w:val="00832213"/>
    <w:rsid w:val="00832E10"/>
    <w:rsid w:val="00833CEA"/>
    <w:rsid w:val="00833CEF"/>
    <w:rsid w:val="00834877"/>
    <w:rsid w:val="00835711"/>
    <w:rsid w:val="00841DA4"/>
    <w:rsid w:val="008441CF"/>
    <w:rsid w:val="008445AA"/>
    <w:rsid w:val="00846280"/>
    <w:rsid w:val="00846ACC"/>
    <w:rsid w:val="00850E69"/>
    <w:rsid w:val="00850EF1"/>
    <w:rsid w:val="008516A3"/>
    <w:rsid w:val="008528D5"/>
    <w:rsid w:val="00854EBF"/>
    <w:rsid w:val="00855600"/>
    <w:rsid w:val="00855C22"/>
    <w:rsid w:val="00855FB4"/>
    <w:rsid w:val="00856288"/>
    <w:rsid w:val="00856EC3"/>
    <w:rsid w:val="00860DD7"/>
    <w:rsid w:val="00861503"/>
    <w:rsid w:val="00863469"/>
    <w:rsid w:val="0086378C"/>
    <w:rsid w:val="0086459F"/>
    <w:rsid w:val="008655BF"/>
    <w:rsid w:val="00865F3F"/>
    <w:rsid w:val="00865F45"/>
    <w:rsid w:val="008677A8"/>
    <w:rsid w:val="008713B6"/>
    <w:rsid w:val="008722B9"/>
    <w:rsid w:val="00872ECA"/>
    <w:rsid w:val="008743A0"/>
    <w:rsid w:val="00875073"/>
    <w:rsid w:val="00875915"/>
    <w:rsid w:val="00875DC9"/>
    <w:rsid w:val="00875F51"/>
    <w:rsid w:val="00876917"/>
    <w:rsid w:val="008778F0"/>
    <w:rsid w:val="0088307E"/>
    <w:rsid w:val="00885552"/>
    <w:rsid w:val="00886435"/>
    <w:rsid w:val="00886EEC"/>
    <w:rsid w:val="008905C5"/>
    <w:rsid w:val="00890A8A"/>
    <w:rsid w:val="00891EEC"/>
    <w:rsid w:val="0089338E"/>
    <w:rsid w:val="0089344F"/>
    <w:rsid w:val="00893741"/>
    <w:rsid w:val="00895D8F"/>
    <w:rsid w:val="008A0DEE"/>
    <w:rsid w:val="008A1149"/>
    <w:rsid w:val="008A18A7"/>
    <w:rsid w:val="008A20AE"/>
    <w:rsid w:val="008A2770"/>
    <w:rsid w:val="008A374B"/>
    <w:rsid w:val="008A68BF"/>
    <w:rsid w:val="008A69B9"/>
    <w:rsid w:val="008B0071"/>
    <w:rsid w:val="008B0187"/>
    <w:rsid w:val="008B210A"/>
    <w:rsid w:val="008B27A5"/>
    <w:rsid w:val="008B3204"/>
    <w:rsid w:val="008B3A53"/>
    <w:rsid w:val="008B3DEC"/>
    <w:rsid w:val="008B4257"/>
    <w:rsid w:val="008B541D"/>
    <w:rsid w:val="008C0765"/>
    <w:rsid w:val="008C2212"/>
    <w:rsid w:val="008C2C04"/>
    <w:rsid w:val="008C38F7"/>
    <w:rsid w:val="008C3B7A"/>
    <w:rsid w:val="008C3DE3"/>
    <w:rsid w:val="008C4D46"/>
    <w:rsid w:val="008C4E22"/>
    <w:rsid w:val="008C6388"/>
    <w:rsid w:val="008C676E"/>
    <w:rsid w:val="008C685C"/>
    <w:rsid w:val="008C7A63"/>
    <w:rsid w:val="008D016A"/>
    <w:rsid w:val="008D0290"/>
    <w:rsid w:val="008D05A6"/>
    <w:rsid w:val="008D2B59"/>
    <w:rsid w:val="008D3838"/>
    <w:rsid w:val="008D46BA"/>
    <w:rsid w:val="008D70B0"/>
    <w:rsid w:val="008D7BE5"/>
    <w:rsid w:val="008E00D6"/>
    <w:rsid w:val="008E0EBF"/>
    <w:rsid w:val="008E1E8F"/>
    <w:rsid w:val="008E2674"/>
    <w:rsid w:val="008E30B1"/>
    <w:rsid w:val="008E35EE"/>
    <w:rsid w:val="008E3BDE"/>
    <w:rsid w:val="008E48A8"/>
    <w:rsid w:val="008E7D98"/>
    <w:rsid w:val="008F0295"/>
    <w:rsid w:val="008F0B04"/>
    <w:rsid w:val="008F137B"/>
    <w:rsid w:val="008F13EB"/>
    <w:rsid w:val="008F2842"/>
    <w:rsid w:val="008F4728"/>
    <w:rsid w:val="008F5A60"/>
    <w:rsid w:val="008F5AC2"/>
    <w:rsid w:val="008F5B35"/>
    <w:rsid w:val="008F62CB"/>
    <w:rsid w:val="008F6513"/>
    <w:rsid w:val="008F65ED"/>
    <w:rsid w:val="008F6BD1"/>
    <w:rsid w:val="008F735B"/>
    <w:rsid w:val="008F785A"/>
    <w:rsid w:val="008F7B14"/>
    <w:rsid w:val="00900469"/>
    <w:rsid w:val="009026E9"/>
    <w:rsid w:val="0090312F"/>
    <w:rsid w:val="00904FFB"/>
    <w:rsid w:val="00905410"/>
    <w:rsid w:val="00905775"/>
    <w:rsid w:val="009067BB"/>
    <w:rsid w:val="00906E83"/>
    <w:rsid w:val="009072F7"/>
    <w:rsid w:val="00911800"/>
    <w:rsid w:val="00913362"/>
    <w:rsid w:val="00914513"/>
    <w:rsid w:val="00914CDE"/>
    <w:rsid w:val="00917A16"/>
    <w:rsid w:val="00917A3F"/>
    <w:rsid w:val="009228D3"/>
    <w:rsid w:val="00923233"/>
    <w:rsid w:val="009233BF"/>
    <w:rsid w:val="00923995"/>
    <w:rsid w:val="00923D64"/>
    <w:rsid w:val="009243FA"/>
    <w:rsid w:val="00926395"/>
    <w:rsid w:val="009273C4"/>
    <w:rsid w:val="00930402"/>
    <w:rsid w:val="00931289"/>
    <w:rsid w:val="00931D7E"/>
    <w:rsid w:val="00932675"/>
    <w:rsid w:val="00933713"/>
    <w:rsid w:val="00934AB4"/>
    <w:rsid w:val="009357E3"/>
    <w:rsid w:val="00935B25"/>
    <w:rsid w:val="00935E2A"/>
    <w:rsid w:val="00937064"/>
    <w:rsid w:val="00937D1F"/>
    <w:rsid w:val="00937F90"/>
    <w:rsid w:val="00940DB7"/>
    <w:rsid w:val="00941AD2"/>
    <w:rsid w:val="00946AEE"/>
    <w:rsid w:val="009501E8"/>
    <w:rsid w:val="009509B4"/>
    <w:rsid w:val="009522BD"/>
    <w:rsid w:val="00952423"/>
    <w:rsid w:val="00952877"/>
    <w:rsid w:val="00953193"/>
    <w:rsid w:val="009534EC"/>
    <w:rsid w:val="009541D6"/>
    <w:rsid w:val="00957393"/>
    <w:rsid w:val="00957DD9"/>
    <w:rsid w:val="009626DF"/>
    <w:rsid w:val="00963316"/>
    <w:rsid w:val="00963CC8"/>
    <w:rsid w:val="00963F9B"/>
    <w:rsid w:val="00965097"/>
    <w:rsid w:val="00966162"/>
    <w:rsid w:val="00967665"/>
    <w:rsid w:val="00967EDD"/>
    <w:rsid w:val="009726A8"/>
    <w:rsid w:val="00972BFC"/>
    <w:rsid w:val="0097357E"/>
    <w:rsid w:val="00974FCA"/>
    <w:rsid w:val="00976861"/>
    <w:rsid w:val="00976BEA"/>
    <w:rsid w:val="0097773C"/>
    <w:rsid w:val="009778EE"/>
    <w:rsid w:val="0097790E"/>
    <w:rsid w:val="00980A58"/>
    <w:rsid w:val="00984B9D"/>
    <w:rsid w:val="00985537"/>
    <w:rsid w:val="009858BA"/>
    <w:rsid w:val="00985AE3"/>
    <w:rsid w:val="00986C74"/>
    <w:rsid w:val="00986CB5"/>
    <w:rsid w:val="00990AB1"/>
    <w:rsid w:val="0099100C"/>
    <w:rsid w:val="009915C1"/>
    <w:rsid w:val="00992B32"/>
    <w:rsid w:val="00992C3B"/>
    <w:rsid w:val="00993069"/>
    <w:rsid w:val="0099429C"/>
    <w:rsid w:val="00995089"/>
    <w:rsid w:val="0099511A"/>
    <w:rsid w:val="009967F3"/>
    <w:rsid w:val="009975D3"/>
    <w:rsid w:val="009A1771"/>
    <w:rsid w:val="009A37FD"/>
    <w:rsid w:val="009A3D65"/>
    <w:rsid w:val="009A4BAB"/>
    <w:rsid w:val="009A4FF5"/>
    <w:rsid w:val="009A70F6"/>
    <w:rsid w:val="009A794A"/>
    <w:rsid w:val="009B03ED"/>
    <w:rsid w:val="009B0F36"/>
    <w:rsid w:val="009B142E"/>
    <w:rsid w:val="009B2B86"/>
    <w:rsid w:val="009B37DF"/>
    <w:rsid w:val="009B39A1"/>
    <w:rsid w:val="009B41CD"/>
    <w:rsid w:val="009C0C14"/>
    <w:rsid w:val="009C1D0B"/>
    <w:rsid w:val="009C1E6D"/>
    <w:rsid w:val="009C2139"/>
    <w:rsid w:val="009C24BD"/>
    <w:rsid w:val="009C26EA"/>
    <w:rsid w:val="009C2CEB"/>
    <w:rsid w:val="009C3E75"/>
    <w:rsid w:val="009C429A"/>
    <w:rsid w:val="009C54DE"/>
    <w:rsid w:val="009C56DA"/>
    <w:rsid w:val="009C56E0"/>
    <w:rsid w:val="009C62DE"/>
    <w:rsid w:val="009C6696"/>
    <w:rsid w:val="009D10D8"/>
    <w:rsid w:val="009D2B68"/>
    <w:rsid w:val="009D6856"/>
    <w:rsid w:val="009E3787"/>
    <w:rsid w:val="009E4640"/>
    <w:rsid w:val="009E47C7"/>
    <w:rsid w:val="009E66DE"/>
    <w:rsid w:val="009F04DC"/>
    <w:rsid w:val="009F143F"/>
    <w:rsid w:val="009F17DF"/>
    <w:rsid w:val="009F1DC6"/>
    <w:rsid w:val="009F3F01"/>
    <w:rsid w:val="009F4927"/>
    <w:rsid w:val="009F7AF7"/>
    <w:rsid w:val="009F7E51"/>
    <w:rsid w:val="00A01656"/>
    <w:rsid w:val="00A04826"/>
    <w:rsid w:val="00A04E4D"/>
    <w:rsid w:val="00A057E3"/>
    <w:rsid w:val="00A05B19"/>
    <w:rsid w:val="00A05EBF"/>
    <w:rsid w:val="00A06F42"/>
    <w:rsid w:val="00A0772F"/>
    <w:rsid w:val="00A12BE7"/>
    <w:rsid w:val="00A139D5"/>
    <w:rsid w:val="00A1669C"/>
    <w:rsid w:val="00A234DC"/>
    <w:rsid w:val="00A2398A"/>
    <w:rsid w:val="00A2467E"/>
    <w:rsid w:val="00A24CEA"/>
    <w:rsid w:val="00A262D2"/>
    <w:rsid w:val="00A26877"/>
    <w:rsid w:val="00A272A1"/>
    <w:rsid w:val="00A2759D"/>
    <w:rsid w:val="00A27C1C"/>
    <w:rsid w:val="00A30548"/>
    <w:rsid w:val="00A31567"/>
    <w:rsid w:val="00A3242E"/>
    <w:rsid w:val="00A32993"/>
    <w:rsid w:val="00A334FD"/>
    <w:rsid w:val="00A337D0"/>
    <w:rsid w:val="00A33CCD"/>
    <w:rsid w:val="00A33D60"/>
    <w:rsid w:val="00A33FBA"/>
    <w:rsid w:val="00A360A2"/>
    <w:rsid w:val="00A4019B"/>
    <w:rsid w:val="00A40AC8"/>
    <w:rsid w:val="00A4195F"/>
    <w:rsid w:val="00A4391B"/>
    <w:rsid w:val="00A441A7"/>
    <w:rsid w:val="00A445C1"/>
    <w:rsid w:val="00A44D61"/>
    <w:rsid w:val="00A457BC"/>
    <w:rsid w:val="00A4612F"/>
    <w:rsid w:val="00A468D4"/>
    <w:rsid w:val="00A47791"/>
    <w:rsid w:val="00A47FA3"/>
    <w:rsid w:val="00A5005E"/>
    <w:rsid w:val="00A50542"/>
    <w:rsid w:val="00A511ED"/>
    <w:rsid w:val="00A51481"/>
    <w:rsid w:val="00A51715"/>
    <w:rsid w:val="00A51BBE"/>
    <w:rsid w:val="00A5233F"/>
    <w:rsid w:val="00A550CC"/>
    <w:rsid w:val="00A5581B"/>
    <w:rsid w:val="00A55C43"/>
    <w:rsid w:val="00A578AB"/>
    <w:rsid w:val="00A57D21"/>
    <w:rsid w:val="00A60FCB"/>
    <w:rsid w:val="00A61412"/>
    <w:rsid w:val="00A61795"/>
    <w:rsid w:val="00A61E77"/>
    <w:rsid w:val="00A624EF"/>
    <w:rsid w:val="00A63A06"/>
    <w:rsid w:val="00A64DA8"/>
    <w:rsid w:val="00A72612"/>
    <w:rsid w:val="00A746A1"/>
    <w:rsid w:val="00A74797"/>
    <w:rsid w:val="00A8020A"/>
    <w:rsid w:val="00A80750"/>
    <w:rsid w:val="00A837F4"/>
    <w:rsid w:val="00A83CB8"/>
    <w:rsid w:val="00A83E23"/>
    <w:rsid w:val="00A85C7B"/>
    <w:rsid w:val="00A91535"/>
    <w:rsid w:val="00A915AF"/>
    <w:rsid w:val="00A91F44"/>
    <w:rsid w:val="00A91F9F"/>
    <w:rsid w:val="00A92137"/>
    <w:rsid w:val="00A92523"/>
    <w:rsid w:val="00A934E9"/>
    <w:rsid w:val="00A937B6"/>
    <w:rsid w:val="00A9453C"/>
    <w:rsid w:val="00A9486C"/>
    <w:rsid w:val="00A949C7"/>
    <w:rsid w:val="00A94A4F"/>
    <w:rsid w:val="00A95DFC"/>
    <w:rsid w:val="00A9657C"/>
    <w:rsid w:val="00A96D65"/>
    <w:rsid w:val="00A96EC4"/>
    <w:rsid w:val="00AA138D"/>
    <w:rsid w:val="00AA13BC"/>
    <w:rsid w:val="00AA2426"/>
    <w:rsid w:val="00AA2A66"/>
    <w:rsid w:val="00AA3AE1"/>
    <w:rsid w:val="00AA5005"/>
    <w:rsid w:val="00AA5953"/>
    <w:rsid w:val="00AA6200"/>
    <w:rsid w:val="00AA6E59"/>
    <w:rsid w:val="00AA748B"/>
    <w:rsid w:val="00AA7E3E"/>
    <w:rsid w:val="00AB0161"/>
    <w:rsid w:val="00AB1390"/>
    <w:rsid w:val="00AB22E5"/>
    <w:rsid w:val="00AB348D"/>
    <w:rsid w:val="00AB43FC"/>
    <w:rsid w:val="00AB4AF0"/>
    <w:rsid w:val="00AB607F"/>
    <w:rsid w:val="00AC1169"/>
    <w:rsid w:val="00AC2FCA"/>
    <w:rsid w:val="00AC3EB7"/>
    <w:rsid w:val="00AC47E8"/>
    <w:rsid w:val="00AC5385"/>
    <w:rsid w:val="00AC6316"/>
    <w:rsid w:val="00AC67BE"/>
    <w:rsid w:val="00AC7766"/>
    <w:rsid w:val="00AD105D"/>
    <w:rsid w:val="00AD2075"/>
    <w:rsid w:val="00AD2304"/>
    <w:rsid w:val="00AD2AB7"/>
    <w:rsid w:val="00AD48C8"/>
    <w:rsid w:val="00AD562D"/>
    <w:rsid w:val="00AD5CA9"/>
    <w:rsid w:val="00AD5E06"/>
    <w:rsid w:val="00AD74D4"/>
    <w:rsid w:val="00AD7B7E"/>
    <w:rsid w:val="00AE6B84"/>
    <w:rsid w:val="00AE6C87"/>
    <w:rsid w:val="00AF02D5"/>
    <w:rsid w:val="00AF08A7"/>
    <w:rsid w:val="00AF0B17"/>
    <w:rsid w:val="00AF1EF3"/>
    <w:rsid w:val="00AF2F8C"/>
    <w:rsid w:val="00AF42B1"/>
    <w:rsid w:val="00AF5572"/>
    <w:rsid w:val="00AF62A9"/>
    <w:rsid w:val="00AF71BE"/>
    <w:rsid w:val="00AF7C97"/>
    <w:rsid w:val="00B048F5"/>
    <w:rsid w:val="00B05165"/>
    <w:rsid w:val="00B06C0F"/>
    <w:rsid w:val="00B07B08"/>
    <w:rsid w:val="00B07BC8"/>
    <w:rsid w:val="00B10D18"/>
    <w:rsid w:val="00B11AA5"/>
    <w:rsid w:val="00B1548B"/>
    <w:rsid w:val="00B15B4C"/>
    <w:rsid w:val="00B15B8F"/>
    <w:rsid w:val="00B16610"/>
    <w:rsid w:val="00B16A1C"/>
    <w:rsid w:val="00B20E5B"/>
    <w:rsid w:val="00B21ECE"/>
    <w:rsid w:val="00B246F3"/>
    <w:rsid w:val="00B24DC0"/>
    <w:rsid w:val="00B255D0"/>
    <w:rsid w:val="00B2753E"/>
    <w:rsid w:val="00B27A8B"/>
    <w:rsid w:val="00B27AA1"/>
    <w:rsid w:val="00B30DAA"/>
    <w:rsid w:val="00B31A25"/>
    <w:rsid w:val="00B31FC5"/>
    <w:rsid w:val="00B3572D"/>
    <w:rsid w:val="00B36994"/>
    <w:rsid w:val="00B36CFA"/>
    <w:rsid w:val="00B370A7"/>
    <w:rsid w:val="00B374C7"/>
    <w:rsid w:val="00B3769D"/>
    <w:rsid w:val="00B379A7"/>
    <w:rsid w:val="00B436C4"/>
    <w:rsid w:val="00B44C33"/>
    <w:rsid w:val="00B452BA"/>
    <w:rsid w:val="00B45633"/>
    <w:rsid w:val="00B4577C"/>
    <w:rsid w:val="00B465E4"/>
    <w:rsid w:val="00B472E2"/>
    <w:rsid w:val="00B478DF"/>
    <w:rsid w:val="00B47929"/>
    <w:rsid w:val="00B50C28"/>
    <w:rsid w:val="00B527EA"/>
    <w:rsid w:val="00B52A1A"/>
    <w:rsid w:val="00B5391E"/>
    <w:rsid w:val="00B54955"/>
    <w:rsid w:val="00B54A21"/>
    <w:rsid w:val="00B578A4"/>
    <w:rsid w:val="00B5790D"/>
    <w:rsid w:val="00B60834"/>
    <w:rsid w:val="00B60B4E"/>
    <w:rsid w:val="00B61941"/>
    <w:rsid w:val="00B61E01"/>
    <w:rsid w:val="00B62160"/>
    <w:rsid w:val="00B63751"/>
    <w:rsid w:val="00B70295"/>
    <w:rsid w:val="00B70E7D"/>
    <w:rsid w:val="00B7126B"/>
    <w:rsid w:val="00B71403"/>
    <w:rsid w:val="00B74BE8"/>
    <w:rsid w:val="00B750BB"/>
    <w:rsid w:val="00B7663D"/>
    <w:rsid w:val="00B76A4A"/>
    <w:rsid w:val="00B80B69"/>
    <w:rsid w:val="00B8145E"/>
    <w:rsid w:val="00B82699"/>
    <w:rsid w:val="00B826A5"/>
    <w:rsid w:val="00B831B7"/>
    <w:rsid w:val="00B848D4"/>
    <w:rsid w:val="00B84C63"/>
    <w:rsid w:val="00B879C7"/>
    <w:rsid w:val="00B90303"/>
    <w:rsid w:val="00B90842"/>
    <w:rsid w:val="00B927B6"/>
    <w:rsid w:val="00B92A77"/>
    <w:rsid w:val="00B9385C"/>
    <w:rsid w:val="00B93920"/>
    <w:rsid w:val="00B942C2"/>
    <w:rsid w:val="00B94ACF"/>
    <w:rsid w:val="00B94D5B"/>
    <w:rsid w:val="00B94FA8"/>
    <w:rsid w:val="00B95F34"/>
    <w:rsid w:val="00B96350"/>
    <w:rsid w:val="00B97200"/>
    <w:rsid w:val="00B97C12"/>
    <w:rsid w:val="00BA0A02"/>
    <w:rsid w:val="00BA2049"/>
    <w:rsid w:val="00BA328D"/>
    <w:rsid w:val="00BA3A69"/>
    <w:rsid w:val="00BA405F"/>
    <w:rsid w:val="00BA433D"/>
    <w:rsid w:val="00BA6AE5"/>
    <w:rsid w:val="00BA6D8B"/>
    <w:rsid w:val="00BB2056"/>
    <w:rsid w:val="00BB2B59"/>
    <w:rsid w:val="00BB34EC"/>
    <w:rsid w:val="00BB407C"/>
    <w:rsid w:val="00BB48A5"/>
    <w:rsid w:val="00BB563E"/>
    <w:rsid w:val="00BB595E"/>
    <w:rsid w:val="00BB6A97"/>
    <w:rsid w:val="00BB7CCC"/>
    <w:rsid w:val="00BB7EEE"/>
    <w:rsid w:val="00BC01F2"/>
    <w:rsid w:val="00BC10E3"/>
    <w:rsid w:val="00BC13EF"/>
    <w:rsid w:val="00BC3353"/>
    <w:rsid w:val="00BC3C8D"/>
    <w:rsid w:val="00BC5DF6"/>
    <w:rsid w:val="00BC6297"/>
    <w:rsid w:val="00BC66BD"/>
    <w:rsid w:val="00BC7818"/>
    <w:rsid w:val="00BC7869"/>
    <w:rsid w:val="00BD0470"/>
    <w:rsid w:val="00BD1A57"/>
    <w:rsid w:val="00BD3475"/>
    <w:rsid w:val="00BD4FFF"/>
    <w:rsid w:val="00BD7B57"/>
    <w:rsid w:val="00BD7C47"/>
    <w:rsid w:val="00BE01FF"/>
    <w:rsid w:val="00BE0466"/>
    <w:rsid w:val="00BE103B"/>
    <w:rsid w:val="00BE1569"/>
    <w:rsid w:val="00BE261A"/>
    <w:rsid w:val="00BE3436"/>
    <w:rsid w:val="00BE3445"/>
    <w:rsid w:val="00BE353C"/>
    <w:rsid w:val="00BE3B44"/>
    <w:rsid w:val="00BE3C00"/>
    <w:rsid w:val="00BE3C1F"/>
    <w:rsid w:val="00BE440C"/>
    <w:rsid w:val="00BE44CA"/>
    <w:rsid w:val="00BE46BD"/>
    <w:rsid w:val="00BE57B8"/>
    <w:rsid w:val="00BE588B"/>
    <w:rsid w:val="00BE5A3B"/>
    <w:rsid w:val="00BE64C1"/>
    <w:rsid w:val="00BE7476"/>
    <w:rsid w:val="00BF0298"/>
    <w:rsid w:val="00BF4794"/>
    <w:rsid w:val="00BF657B"/>
    <w:rsid w:val="00C0059B"/>
    <w:rsid w:val="00C04D4A"/>
    <w:rsid w:val="00C05EA3"/>
    <w:rsid w:val="00C06091"/>
    <w:rsid w:val="00C06771"/>
    <w:rsid w:val="00C07143"/>
    <w:rsid w:val="00C0758F"/>
    <w:rsid w:val="00C11790"/>
    <w:rsid w:val="00C16467"/>
    <w:rsid w:val="00C16EBF"/>
    <w:rsid w:val="00C20507"/>
    <w:rsid w:val="00C20720"/>
    <w:rsid w:val="00C21A75"/>
    <w:rsid w:val="00C21D84"/>
    <w:rsid w:val="00C22690"/>
    <w:rsid w:val="00C22DB5"/>
    <w:rsid w:val="00C23599"/>
    <w:rsid w:val="00C23865"/>
    <w:rsid w:val="00C24005"/>
    <w:rsid w:val="00C24115"/>
    <w:rsid w:val="00C2597A"/>
    <w:rsid w:val="00C25B24"/>
    <w:rsid w:val="00C25DC7"/>
    <w:rsid w:val="00C27B1E"/>
    <w:rsid w:val="00C32695"/>
    <w:rsid w:val="00C34FC9"/>
    <w:rsid w:val="00C3671A"/>
    <w:rsid w:val="00C3699F"/>
    <w:rsid w:val="00C42955"/>
    <w:rsid w:val="00C43973"/>
    <w:rsid w:val="00C4794C"/>
    <w:rsid w:val="00C50DDF"/>
    <w:rsid w:val="00C50EB4"/>
    <w:rsid w:val="00C51267"/>
    <w:rsid w:val="00C51394"/>
    <w:rsid w:val="00C5315A"/>
    <w:rsid w:val="00C539ED"/>
    <w:rsid w:val="00C54A5F"/>
    <w:rsid w:val="00C55084"/>
    <w:rsid w:val="00C55910"/>
    <w:rsid w:val="00C55BF8"/>
    <w:rsid w:val="00C5620D"/>
    <w:rsid w:val="00C562F7"/>
    <w:rsid w:val="00C563A6"/>
    <w:rsid w:val="00C57793"/>
    <w:rsid w:val="00C57DAE"/>
    <w:rsid w:val="00C6061D"/>
    <w:rsid w:val="00C60AE0"/>
    <w:rsid w:val="00C6193D"/>
    <w:rsid w:val="00C62CF3"/>
    <w:rsid w:val="00C64A3C"/>
    <w:rsid w:val="00C64BC9"/>
    <w:rsid w:val="00C64D57"/>
    <w:rsid w:val="00C65696"/>
    <w:rsid w:val="00C65E2B"/>
    <w:rsid w:val="00C66153"/>
    <w:rsid w:val="00C661FD"/>
    <w:rsid w:val="00C677BF"/>
    <w:rsid w:val="00C70434"/>
    <w:rsid w:val="00C70787"/>
    <w:rsid w:val="00C71321"/>
    <w:rsid w:val="00C71EE5"/>
    <w:rsid w:val="00C722FA"/>
    <w:rsid w:val="00C747C1"/>
    <w:rsid w:val="00C7663B"/>
    <w:rsid w:val="00C77BC6"/>
    <w:rsid w:val="00C81769"/>
    <w:rsid w:val="00C83EB1"/>
    <w:rsid w:val="00C840E1"/>
    <w:rsid w:val="00C84B81"/>
    <w:rsid w:val="00C86328"/>
    <w:rsid w:val="00C866BA"/>
    <w:rsid w:val="00C8682D"/>
    <w:rsid w:val="00C86AC5"/>
    <w:rsid w:val="00C90C55"/>
    <w:rsid w:val="00C9346D"/>
    <w:rsid w:val="00C93BF8"/>
    <w:rsid w:val="00C9489E"/>
    <w:rsid w:val="00C94C71"/>
    <w:rsid w:val="00C9555E"/>
    <w:rsid w:val="00C95E14"/>
    <w:rsid w:val="00C97D88"/>
    <w:rsid w:val="00C97E2C"/>
    <w:rsid w:val="00CA1134"/>
    <w:rsid w:val="00CA12FF"/>
    <w:rsid w:val="00CA2BA4"/>
    <w:rsid w:val="00CA358A"/>
    <w:rsid w:val="00CA59AA"/>
    <w:rsid w:val="00CA5CC3"/>
    <w:rsid w:val="00CA64FC"/>
    <w:rsid w:val="00CA6B77"/>
    <w:rsid w:val="00CB0261"/>
    <w:rsid w:val="00CB097A"/>
    <w:rsid w:val="00CB0AFA"/>
    <w:rsid w:val="00CB1068"/>
    <w:rsid w:val="00CB2589"/>
    <w:rsid w:val="00CB2AC7"/>
    <w:rsid w:val="00CB30FD"/>
    <w:rsid w:val="00CB3309"/>
    <w:rsid w:val="00CB44DC"/>
    <w:rsid w:val="00CB4C2D"/>
    <w:rsid w:val="00CB5541"/>
    <w:rsid w:val="00CB5A5E"/>
    <w:rsid w:val="00CB7729"/>
    <w:rsid w:val="00CB7754"/>
    <w:rsid w:val="00CC488C"/>
    <w:rsid w:val="00CC48D1"/>
    <w:rsid w:val="00CC4D5C"/>
    <w:rsid w:val="00CC5BE6"/>
    <w:rsid w:val="00CD2214"/>
    <w:rsid w:val="00CD2A99"/>
    <w:rsid w:val="00CD2C29"/>
    <w:rsid w:val="00CD396E"/>
    <w:rsid w:val="00CD3FEF"/>
    <w:rsid w:val="00CD5D4E"/>
    <w:rsid w:val="00CD6877"/>
    <w:rsid w:val="00CD6CD0"/>
    <w:rsid w:val="00CD6E13"/>
    <w:rsid w:val="00CD7325"/>
    <w:rsid w:val="00CE1380"/>
    <w:rsid w:val="00CE4361"/>
    <w:rsid w:val="00CE43F0"/>
    <w:rsid w:val="00CE569A"/>
    <w:rsid w:val="00CE5F2C"/>
    <w:rsid w:val="00CE693C"/>
    <w:rsid w:val="00CE7B2B"/>
    <w:rsid w:val="00CF0C86"/>
    <w:rsid w:val="00CF1C0F"/>
    <w:rsid w:val="00CF1EC1"/>
    <w:rsid w:val="00CF2206"/>
    <w:rsid w:val="00CF2A5F"/>
    <w:rsid w:val="00CF2EDF"/>
    <w:rsid w:val="00CF39E3"/>
    <w:rsid w:val="00CF3C08"/>
    <w:rsid w:val="00CF3E1B"/>
    <w:rsid w:val="00CF4E8B"/>
    <w:rsid w:val="00CF536E"/>
    <w:rsid w:val="00CF5BE4"/>
    <w:rsid w:val="00CF606F"/>
    <w:rsid w:val="00CF6ECB"/>
    <w:rsid w:val="00D01DDA"/>
    <w:rsid w:val="00D030DC"/>
    <w:rsid w:val="00D035E9"/>
    <w:rsid w:val="00D0414A"/>
    <w:rsid w:val="00D05896"/>
    <w:rsid w:val="00D0594B"/>
    <w:rsid w:val="00D060F7"/>
    <w:rsid w:val="00D06214"/>
    <w:rsid w:val="00D06C59"/>
    <w:rsid w:val="00D11CF0"/>
    <w:rsid w:val="00D1603C"/>
    <w:rsid w:val="00D1639E"/>
    <w:rsid w:val="00D20DE2"/>
    <w:rsid w:val="00D20E4A"/>
    <w:rsid w:val="00D232A4"/>
    <w:rsid w:val="00D24DC0"/>
    <w:rsid w:val="00D25C1A"/>
    <w:rsid w:val="00D25FE8"/>
    <w:rsid w:val="00D339AB"/>
    <w:rsid w:val="00D34096"/>
    <w:rsid w:val="00D34F1A"/>
    <w:rsid w:val="00D406B6"/>
    <w:rsid w:val="00D40F9F"/>
    <w:rsid w:val="00D41A20"/>
    <w:rsid w:val="00D42C49"/>
    <w:rsid w:val="00D443FB"/>
    <w:rsid w:val="00D44C7D"/>
    <w:rsid w:val="00D512D5"/>
    <w:rsid w:val="00D518EC"/>
    <w:rsid w:val="00D5293D"/>
    <w:rsid w:val="00D53C87"/>
    <w:rsid w:val="00D54A14"/>
    <w:rsid w:val="00D54A94"/>
    <w:rsid w:val="00D559E2"/>
    <w:rsid w:val="00D5704C"/>
    <w:rsid w:val="00D57B4E"/>
    <w:rsid w:val="00D57CF4"/>
    <w:rsid w:val="00D60A1B"/>
    <w:rsid w:val="00D62015"/>
    <w:rsid w:val="00D625F1"/>
    <w:rsid w:val="00D62D9D"/>
    <w:rsid w:val="00D64925"/>
    <w:rsid w:val="00D64B3E"/>
    <w:rsid w:val="00D64CCA"/>
    <w:rsid w:val="00D64DC6"/>
    <w:rsid w:val="00D670EB"/>
    <w:rsid w:val="00D67194"/>
    <w:rsid w:val="00D67219"/>
    <w:rsid w:val="00D674B3"/>
    <w:rsid w:val="00D705F0"/>
    <w:rsid w:val="00D713F6"/>
    <w:rsid w:val="00D74274"/>
    <w:rsid w:val="00D7693F"/>
    <w:rsid w:val="00D76F1C"/>
    <w:rsid w:val="00D77104"/>
    <w:rsid w:val="00D77B23"/>
    <w:rsid w:val="00D77F13"/>
    <w:rsid w:val="00D803D8"/>
    <w:rsid w:val="00D8043F"/>
    <w:rsid w:val="00D81267"/>
    <w:rsid w:val="00D81CC2"/>
    <w:rsid w:val="00D83542"/>
    <w:rsid w:val="00D848B7"/>
    <w:rsid w:val="00D84986"/>
    <w:rsid w:val="00D84BC5"/>
    <w:rsid w:val="00D867EE"/>
    <w:rsid w:val="00D870C6"/>
    <w:rsid w:val="00D87525"/>
    <w:rsid w:val="00D9134E"/>
    <w:rsid w:val="00D915E9"/>
    <w:rsid w:val="00D91AF3"/>
    <w:rsid w:val="00D92F6F"/>
    <w:rsid w:val="00D94149"/>
    <w:rsid w:val="00D957BA"/>
    <w:rsid w:val="00D96347"/>
    <w:rsid w:val="00D967A6"/>
    <w:rsid w:val="00D97D96"/>
    <w:rsid w:val="00DA0EF3"/>
    <w:rsid w:val="00DA18EF"/>
    <w:rsid w:val="00DA19D5"/>
    <w:rsid w:val="00DA2D01"/>
    <w:rsid w:val="00DA3142"/>
    <w:rsid w:val="00DA3C8E"/>
    <w:rsid w:val="00DA52FF"/>
    <w:rsid w:val="00DA6792"/>
    <w:rsid w:val="00DA7476"/>
    <w:rsid w:val="00DB0135"/>
    <w:rsid w:val="00DB06B9"/>
    <w:rsid w:val="00DB23CC"/>
    <w:rsid w:val="00DB4B3C"/>
    <w:rsid w:val="00DB5087"/>
    <w:rsid w:val="00DB576D"/>
    <w:rsid w:val="00DB578D"/>
    <w:rsid w:val="00DB5A5F"/>
    <w:rsid w:val="00DB5AFA"/>
    <w:rsid w:val="00DB6543"/>
    <w:rsid w:val="00DC09F6"/>
    <w:rsid w:val="00DC0E0F"/>
    <w:rsid w:val="00DC1481"/>
    <w:rsid w:val="00DC28D9"/>
    <w:rsid w:val="00DC3542"/>
    <w:rsid w:val="00DC361A"/>
    <w:rsid w:val="00DC599E"/>
    <w:rsid w:val="00DC6F11"/>
    <w:rsid w:val="00DC7477"/>
    <w:rsid w:val="00DD073E"/>
    <w:rsid w:val="00DD0762"/>
    <w:rsid w:val="00DD138C"/>
    <w:rsid w:val="00DD17AA"/>
    <w:rsid w:val="00DD2B92"/>
    <w:rsid w:val="00DD2D21"/>
    <w:rsid w:val="00DD3094"/>
    <w:rsid w:val="00DD4F31"/>
    <w:rsid w:val="00DD5050"/>
    <w:rsid w:val="00DD68DF"/>
    <w:rsid w:val="00DE0078"/>
    <w:rsid w:val="00DE0C3B"/>
    <w:rsid w:val="00DE0F46"/>
    <w:rsid w:val="00DE145D"/>
    <w:rsid w:val="00DE3722"/>
    <w:rsid w:val="00DE3D9D"/>
    <w:rsid w:val="00DE459C"/>
    <w:rsid w:val="00DE5101"/>
    <w:rsid w:val="00DE53A0"/>
    <w:rsid w:val="00DE6916"/>
    <w:rsid w:val="00DE7797"/>
    <w:rsid w:val="00DE78DA"/>
    <w:rsid w:val="00DF0E27"/>
    <w:rsid w:val="00DF1BA2"/>
    <w:rsid w:val="00DF322B"/>
    <w:rsid w:val="00DF6E83"/>
    <w:rsid w:val="00E00368"/>
    <w:rsid w:val="00E00A33"/>
    <w:rsid w:val="00E03B0C"/>
    <w:rsid w:val="00E03C80"/>
    <w:rsid w:val="00E0420D"/>
    <w:rsid w:val="00E05D5B"/>
    <w:rsid w:val="00E065C0"/>
    <w:rsid w:val="00E070C9"/>
    <w:rsid w:val="00E11B46"/>
    <w:rsid w:val="00E12403"/>
    <w:rsid w:val="00E13A80"/>
    <w:rsid w:val="00E14BA0"/>
    <w:rsid w:val="00E14E26"/>
    <w:rsid w:val="00E16602"/>
    <w:rsid w:val="00E16D82"/>
    <w:rsid w:val="00E206A3"/>
    <w:rsid w:val="00E20AEB"/>
    <w:rsid w:val="00E213BA"/>
    <w:rsid w:val="00E215A1"/>
    <w:rsid w:val="00E21DF5"/>
    <w:rsid w:val="00E22721"/>
    <w:rsid w:val="00E23C07"/>
    <w:rsid w:val="00E26F27"/>
    <w:rsid w:val="00E279F5"/>
    <w:rsid w:val="00E3127A"/>
    <w:rsid w:val="00E33D2E"/>
    <w:rsid w:val="00E34B45"/>
    <w:rsid w:val="00E354DC"/>
    <w:rsid w:val="00E366BA"/>
    <w:rsid w:val="00E369E6"/>
    <w:rsid w:val="00E3777E"/>
    <w:rsid w:val="00E4011D"/>
    <w:rsid w:val="00E4130F"/>
    <w:rsid w:val="00E41506"/>
    <w:rsid w:val="00E41FB1"/>
    <w:rsid w:val="00E42097"/>
    <w:rsid w:val="00E42501"/>
    <w:rsid w:val="00E433AD"/>
    <w:rsid w:val="00E44A97"/>
    <w:rsid w:val="00E44E62"/>
    <w:rsid w:val="00E45B78"/>
    <w:rsid w:val="00E469A3"/>
    <w:rsid w:val="00E47FB2"/>
    <w:rsid w:val="00E50C5C"/>
    <w:rsid w:val="00E51AED"/>
    <w:rsid w:val="00E52003"/>
    <w:rsid w:val="00E529C4"/>
    <w:rsid w:val="00E55BF3"/>
    <w:rsid w:val="00E56131"/>
    <w:rsid w:val="00E56D90"/>
    <w:rsid w:val="00E57D69"/>
    <w:rsid w:val="00E61836"/>
    <w:rsid w:val="00E64038"/>
    <w:rsid w:val="00E64D28"/>
    <w:rsid w:val="00E65710"/>
    <w:rsid w:val="00E66AA4"/>
    <w:rsid w:val="00E66FD2"/>
    <w:rsid w:val="00E67D1D"/>
    <w:rsid w:val="00E7107F"/>
    <w:rsid w:val="00E71EDF"/>
    <w:rsid w:val="00E7229A"/>
    <w:rsid w:val="00E72454"/>
    <w:rsid w:val="00E72DAB"/>
    <w:rsid w:val="00E72EAC"/>
    <w:rsid w:val="00E72FC3"/>
    <w:rsid w:val="00E73B3A"/>
    <w:rsid w:val="00E7475D"/>
    <w:rsid w:val="00E754CB"/>
    <w:rsid w:val="00E768AA"/>
    <w:rsid w:val="00E76AB5"/>
    <w:rsid w:val="00E77046"/>
    <w:rsid w:val="00E776EC"/>
    <w:rsid w:val="00E80505"/>
    <w:rsid w:val="00E80E8C"/>
    <w:rsid w:val="00E81FCC"/>
    <w:rsid w:val="00E82B7A"/>
    <w:rsid w:val="00E82F97"/>
    <w:rsid w:val="00E834F6"/>
    <w:rsid w:val="00E841F8"/>
    <w:rsid w:val="00E85670"/>
    <w:rsid w:val="00E87D06"/>
    <w:rsid w:val="00E9024E"/>
    <w:rsid w:val="00E90479"/>
    <w:rsid w:val="00E937C6"/>
    <w:rsid w:val="00E93CD3"/>
    <w:rsid w:val="00E940F5"/>
    <w:rsid w:val="00E948CE"/>
    <w:rsid w:val="00E94B3A"/>
    <w:rsid w:val="00E951BA"/>
    <w:rsid w:val="00EA0463"/>
    <w:rsid w:val="00EA0645"/>
    <w:rsid w:val="00EA1375"/>
    <w:rsid w:val="00EA14BA"/>
    <w:rsid w:val="00EA29D5"/>
    <w:rsid w:val="00EA5118"/>
    <w:rsid w:val="00EA73B7"/>
    <w:rsid w:val="00EB0435"/>
    <w:rsid w:val="00EB1761"/>
    <w:rsid w:val="00EB1DFC"/>
    <w:rsid w:val="00EB2650"/>
    <w:rsid w:val="00EB2BFB"/>
    <w:rsid w:val="00EB37B9"/>
    <w:rsid w:val="00EB419A"/>
    <w:rsid w:val="00EB4F4C"/>
    <w:rsid w:val="00EC1F54"/>
    <w:rsid w:val="00EC2D6B"/>
    <w:rsid w:val="00EC2FB7"/>
    <w:rsid w:val="00EC34A5"/>
    <w:rsid w:val="00EC4A3F"/>
    <w:rsid w:val="00EC4BAE"/>
    <w:rsid w:val="00EC6923"/>
    <w:rsid w:val="00ED0A3C"/>
    <w:rsid w:val="00ED11B8"/>
    <w:rsid w:val="00ED1315"/>
    <w:rsid w:val="00ED3579"/>
    <w:rsid w:val="00ED401C"/>
    <w:rsid w:val="00ED68B7"/>
    <w:rsid w:val="00ED69F7"/>
    <w:rsid w:val="00ED6D91"/>
    <w:rsid w:val="00ED7B9C"/>
    <w:rsid w:val="00ED7CA3"/>
    <w:rsid w:val="00EE01B5"/>
    <w:rsid w:val="00EE0636"/>
    <w:rsid w:val="00EE0E00"/>
    <w:rsid w:val="00EE1A12"/>
    <w:rsid w:val="00EE1FEF"/>
    <w:rsid w:val="00EE3127"/>
    <w:rsid w:val="00EE3415"/>
    <w:rsid w:val="00EE4B54"/>
    <w:rsid w:val="00EE550B"/>
    <w:rsid w:val="00EE6620"/>
    <w:rsid w:val="00EE66A8"/>
    <w:rsid w:val="00EE75D0"/>
    <w:rsid w:val="00EF028C"/>
    <w:rsid w:val="00EF315E"/>
    <w:rsid w:val="00EF3566"/>
    <w:rsid w:val="00EF5144"/>
    <w:rsid w:val="00EF57F5"/>
    <w:rsid w:val="00EF5949"/>
    <w:rsid w:val="00EF5A88"/>
    <w:rsid w:val="00EF6AEE"/>
    <w:rsid w:val="00EF7A82"/>
    <w:rsid w:val="00F00D03"/>
    <w:rsid w:val="00F030DE"/>
    <w:rsid w:val="00F0404C"/>
    <w:rsid w:val="00F048A8"/>
    <w:rsid w:val="00F04BB3"/>
    <w:rsid w:val="00F065EF"/>
    <w:rsid w:val="00F10950"/>
    <w:rsid w:val="00F10FE3"/>
    <w:rsid w:val="00F1180F"/>
    <w:rsid w:val="00F11B34"/>
    <w:rsid w:val="00F12393"/>
    <w:rsid w:val="00F1251B"/>
    <w:rsid w:val="00F14C20"/>
    <w:rsid w:val="00F15684"/>
    <w:rsid w:val="00F16075"/>
    <w:rsid w:val="00F2085F"/>
    <w:rsid w:val="00F22E44"/>
    <w:rsid w:val="00F231A6"/>
    <w:rsid w:val="00F255A4"/>
    <w:rsid w:val="00F259F4"/>
    <w:rsid w:val="00F26320"/>
    <w:rsid w:val="00F26C60"/>
    <w:rsid w:val="00F2756A"/>
    <w:rsid w:val="00F27E3D"/>
    <w:rsid w:val="00F310F0"/>
    <w:rsid w:val="00F31174"/>
    <w:rsid w:val="00F32355"/>
    <w:rsid w:val="00F329C7"/>
    <w:rsid w:val="00F32A30"/>
    <w:rsid w:val="00F32E6F"/>
    <w:rsid w:val="00F333DD"/>
    <w:rsid w:val="00F357FD"/>
    <w:rsid w:val="00F3667C"/>
    <w:rsid w:val="00F36A91"/>
    <w:rsid w:val="00F3738D"/>
    <w:rsid w:val="00F402A6"/>
    <w:rsid w:val="00F42DD1"/>
    <w:rsid w:val="00F43E64"/>
    <w:rsid w:val="00F465BF"/>
    <w:rsid w:val="00F46888"/>
    <w:rsid w:val="00F475EF"/>
    <w:rsid w:val="00F509E0"/>
    <w:rsid w:val="00F51D24"/>
    <w:rsid w:val="00F52510"/>
    <w:rsid w:val="00F52B49"/>
    <w:rsid w:val="00F52CE5"/>
    <w:rsid w:val="00F52E2D"/>
    <w:rsid w:val="00F53BDF"/>
    <w:rsid w:val="00F55074"/>
    <w:rsid w:val="00F550DB"/>
    <w:rsid w:val="00F55E67"/>
    <w:rsid w:val="00F575FC"/>
    <w:rsid w:val="00F60878"/>
    <w:rsid w:val="00F612E6"/>
    <w:rsid w:val="00F632D4"/>
    <w:rsid w:val="00F6661D"/>
    <w:rsid w:val="00F66776"/>
    <w:rsid w:val="00F6706C"/>
    <w:rsid w:val="00F67D73"/>
    <w:rsid w:val="00F71FAE"/>
    <w:rsid w:val="00F728F4"/>
    <w:rsid w:val="00F72BA1"/>
    <w:rsid w:val="00F73193"/>
    <w:rsid w:val="00F73E57"/>
    <w:rsid w:val="00F74091"/>
    <w:rsid w:val="00F740A1"/>
    <w:rsid w:val="00F74B23"/>
    <w:rsid w:val="00F777DC"/>
    <w:rsid w:val="00F7782D"/>
    <w:rsid w:val="00F77C84"/>
    <w:rsid w:val="00F81572"/>
    <w:rsid w:val="00F81CB0"/>
    <w:rsid w:val="00F81E62"/>
    <w:rsid w:val="00F81E6A"/>
    <w:rsid w:val="00F81F33"/>
    <w:rsid w:val="00F81F6B"/>
    <w:rsid w:val="00F83289"/>
    <w:rsid w:val="00F85763"/>
    <w:rsid w:val="00F85A68"/>
    <w:rsid w:val="00F85BFC"/>
    <w:rsid w:val="00F877AF"/>
    <w:rsid w:val="00F87EEA"/>
    <w:rsid w:val="00F90237"/>
    <w:rsid w:val="00F91ABE"/>
    <w:rsid w:val="00F91C44"/>
    <w:rsid w:val="00F930F0"/>
    <w:rsid w:val="00F94859"/>
    <w:rsid w:val="00F95BC8"/>
    <w:rsid w:val="00F9615E"/>
    <w:rsid w:val="00F961F1"/>
    <w:rsid w:val="00F96F3A"/>
    <w:rsid w:val="00FA0D21"/>
    <w:rsid w:val="00FA1855"/>
    <w:rsid w:val="00FA2837"/>
    <w:rsid w:val="00FA37BD"/>
    <w:rsid w:val="00FA6760"/>
    <w:rsid w:val="00FA79F6"/>
    <w:rsid w:val="00FB0DBF"/>
    <w:rsid w:val="00FB120D"/>
    <w:rsid w:val="00FB2062"/>
    <w:rsid w:val="00FB2C72"/>
    <w:rsid w:val="00FB4EB6"/>
    <w:rsid w:val="00FB5F66"/>
    <w:rsid w:val="00FB6291"/>
    <w:rsid w:val="00FB6FC5"/>
    <w:rsid w:val="00FB778F"/>
    <w:rsid w:val="00FB786E"/>
    <w:rsid w:val="00FB799D"/>
    <w:rsid w:val="00FB7BF2"/>
    <w:rsid w:val="00FC0B84"/>
    <w:rsid w:val="00FC1C9C"/>
    <w:rsid w:val="00FC205C"/>
    <w:rsid w:val="00FC3F61"/>
    <w:rsid w:val="00FC4F2F"/>
    <w:rsid w:val="00FC536C"/>
    <w:rsid w:val="00FC6582"/>
    <w:rsid w:val="00FC6F9F"/>
    <w:rsid w:val="00FC73B8"/>
    <w:rsid w:val="00FC7F5E"/>
    <w:rsid w:val="00FD00B7"/>
    <w:rsid w:val="00FD2D2B"/>
    <w:rsid w:val="00FD35E9"/>
    <w:rsid w:val="00FD37C4"/>
    <w:rsid w:val="00FD4929"/>
    <w:rsid w:val="00FD72E9"/>
    <w:rsid w:val="00FD7F58"/>
    <w:rsid w:val="00FE0243"/>
    <w:rsid w:val="00FE0E73"/>
    <w:rsid w:val="00FE228B"/>
    <w:rsid w:val="00FE2707"/>
    <w:rsid w:val="00FE32FE"/>
    <w:rsid w:val="00FE430A"/>
    <w:rsid w:val="00FE453B"/>
    <w:rsid w:val="00FE6936"/>
    <w:rsid w:val="00FE701F"/>
    <w:rsid w:val="00FE75C1"/>
    <w:rsid w:val="00FF17D0"/>
    <w:rsid w:val="00FF2D4D"/>
    <w:rsid w:val="00FF6017"/>
    <w:rsid w:val="00FF6C6D"/>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37C1C"/>
  <w15:docId w15:val="{2B8FF62D-D1CF-4C98-A156-63CFEC09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42"/>
  </w:style>
  <w:style w:type="paragraph" w:styleId="Heading1">
    <w:name w:val="heading 1"/>
    <w:basedOn w:val="Normal"/>
    <w:next w:val="Normal"/>
    <w:link w:val="Heading1Char"/>
    <w:uiPriority w:val="9"/>
    <w:qFormat/>
    <w:rsid w:val="008F2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8F284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8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F2842"/>
    <w:rPr>
      <w:rFonts w:ascii="Times New Roman" w:eastAsia="Times New Roman" w:hAnsi="Times New Roman" w:cs="Times New Roman"/>
      <w:b/>
      <w:bCs/>
      <w:sz w:val="36"/>
      <w:szCs w:val="36"/>
      <w:lang w:eastAsia="en-GB"/>
    </w:rPr>
  </w:style>
  <w:style w:type="paragraph" w:customStyle="1" w:styleId="msonormal0">
    <w:name w:val="msonormal"/>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as">
    <w:name w:val="aas"/>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q">
    <w:name w:val="aaq"/>
    <w:basedOn w:val="DefaultParagraphFont"/>
    <w:rsid w:val="008F2842"/>
  </w:style>
  <w:style w:type="paragraph" w:customStyle="1" w:styleId="aat">
    <w:name w:val="aat"/>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au">
    <w:name w:val="aa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n">
    <w:name w:val="aan"/>
    <w:basedOn w:val="DefaultParagraphFont"/>
    <w:rsid w:val="008F2842"/>
  </w:style>
  <w:style w:type="paragraph" w:customStyle="1" w:styleId="aav">
    <w:name w:val="aa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l">
    <w:name w:val="aal"/>
    <w:basedOn w:val="DefaultParagraphFont"/>
    <w:rsid w:val="008F2842"/>
  </w:style>
  <w:style w:type="paragraph" w:customStyle="1" w:styleId="aaw">
    <w:name w:val="aaw"/>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ay">
    <w:name w:val="aay"/>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j">
    <w:name w:val="aaj"/>
    <w:basedOn w:val="DefaultParagraphFont"/>
    <w:rsid w:val="008F2842"/>
  </w:style>
  <w:style w:type="paragraph" w:customStyle="1" w:styleId="aaz">
    <w:name w:val="aaz"/>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a">
    <w:name w:val="aba"/>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b">
    <w:name w:val="abb"/>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p">
    <w:name w:val="zp"/>
    <w:basedOn w:val="DefaultParagraphFont"/>
    <w:rsid w:val="008F2842"/>
  </w:style>
  <w:style w:type="character" w:customStyle="1" w:styleId="zn">
    <w:name w:val="zn"/>
    <w:basedOn w:val="DefaultParagraphFont"/>
    <w:rsid w:val="008F2842"/>
  </w:style>
  <w:style w:type="character" w:customStyle="1" w:styleId="zm">
    <w:name w:val="zm"/>
    <w:basedOn w:val="DefaultParagraphFont"/>
    <w:rsid w:val="008F2842"/>
  </w:style>
  <w:style w:type="paragraph" w:customStyle="1" w:styleId="abc">
    <w:name w:val="abc"/>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l">
    <w:name w:val="zl"/>
    <w:basedOn w:val="DefaultParagraphFont"/>
    <w:rsid w:val="008F2842"/>
  </w:style>
  <w:style w:type="paragraph" w:customStyle="1" w:styleId="abd">
    <w:name w:val="abd"/>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e">
    <w:name w:val="abe"/>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g">
    <w:name w:val="zg"/>
    <w:basedOn w:val="DefaultParagraphFont"/>
    <w:rsid w:val="008F2842"/>
  </w:style>
  <w:style w:type="paragraph" w:customStyle="1" w:styleId="abf">
    <w:name w:val="abf"/>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bg">
    <w:name w:val="abg"/>
    <w:basedOn w:val="DefaultParagraphFont"/>
    <w:rsid w:val="008F2842"/>
  </w:style>
  <w:style w:type="paragraph" w:customStyle="1" w:styleId="yt">
    <w:name w:val="yt"/>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bh">
    <w:name w:val="abh"/>
    <w:basedOn w:val="DefaultParagraphFont"/>
    <w:rsid w:val="008F2842"/>
  </w:style>
  <w:style w:type="character" w:customStyle="1" w:styleId="yu">
    <w:name w:val="yu"/>
    <w:basedOn w:val="DefaultParagraphFont"/>
    <w:rsid w:val="008F2842"/>
  </w:style>
  <w:style w:type="character" w:customStyle="1" w:styleId="yv">
    <w:name w:val="yv"/>
    <w:basedOn w:val="DefaultParagraphFont"/>
    <w:rsid w:val="008F2842"/>
  </w:style>
  <w:style w:type="character" w:customStyle="1" w:styleId="w">
    <w:name w:val="w"/>
    <w:basedOn w:val="DefaultParagraphFont"/>
    <w:rsid w:val="008F2842"/>
  </w:style>
  <w:style w:type="paragraph" w:customStyle="1" w:styleId="yq">
    <w:name w:val="yq"/>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bi">
    <w:name w:val="abi"/>
    <w:basedOn w:val="DefaultParagraphFont"/>
    <w:rsid w:val="008F2842"/>
  </w:style>
  <w:style w:type="character" w:customStyle="1" w:styleId="yr">
    <w:name w:val="yr"/>
    <w:basedOn w:val="DefaultParagraphFont"/>
    <w:rsid w:val="008F2842"/>
  </w:style>
  <w:style w:type="character" w:customStyle="1" w:styleId="abj">
    <w:name w:val="abj"/>
    <w:basedOn w:val="DefaultParagraphFont"/>
    <w:rsid w:val="008F2842"/>
  </w:style>
  <w:style w:type="character" w:customStyle="1" w:styleId="abk">
    <w:name w:val="abk"/>
    <w:basedOn w:val="DefaultParagraphFont"/>
    <w:rsid w:val="008F2842"/>
  </w:style>
  <w:style w:type="character" w:customStyle="1" w:styleId="abl">
    <w:name w:val="abl"/>
    <w:basedOn w:val="DefaultParagraphFont"/>
    <w:rsid w:val="008F2842"/>
  </w:style>
  <w:style w:type="character" w:customStyle="1" w:styleId="abm">
    <w:name w:val="abm"/>
    <w:basedOn w:val="DefaultParagraphFont"/>
    <w:rsid w:val="008F2842"/>
  </w:style>
  <w:style w:type="character" w:customStyle="1" w:styleId="abn">
    <w:name w:val="abn"/>
    <w:basedOn w:val="DefaultParagraphFont"/>
    <w:rsid w:val="008F2842"/>
  </w:style>
  <w:style w:type="character" w:customStyle="1" w:styleId="abo">
    <w:name w:val="abo"/>
    <w:basedOn w:val="DefaultParagraphFont"/>
    <w:rsid w:val="008F2842"/>
  </w:style>
  <w:style w:type="paragraph" w:customStyle="1" w:styleId="yj">
    <w:name w:val="yj"/>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k">
    <w:name w:val="yk"/>
    <w:basedOn w:val="DefaultParagraphFont"/>
    <w:rsid w:val="008F2842"/>
  </w:style>
  <w:style w:type="character" w:customStyle="1" w:styleId="ys">
    <w:name w:val="ys"/>
    <w:basedOn w:val="DefaultParagraphFont"/>
    <w:rsid w:val="008F2842"/>
  </w:style>
  <w:style w:type="paragraph" w:customStyle="1" w:styleId="abp">
    <w:name w:val="abp"/>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
    <w:name w:val="yi"/>
    <w:basedOn w:val="DefaultParagraphFont"/>
    <w:rsid w:val="008F2842"/>
  </w:style>
  <w:style w:type="paragraph" w:customStyle="1" w:styleId="abq">
    <w:name w:val="abq"/>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2842"/>
    <w:rPr>
      <w:color w:val="0000FF"/>
      <w:u w:val="single"/>
    </w:rPr>
  </w:style>
  <w:style w:type="character" w:styleId="FollowedHyperlink">
    <w:name w:val="FollowedHyperlink"/>
    <w:basedOn w:val="DefaultParagraphFont"/>
    <w:uiPriority w:val="99"/>
    <w:semiHidden/>
    <w:unhideWhenUsed/>
    <w:rsid w:val="008F2842"/>
    <w:rPr>
      <w:color w:val="800080"/>
      <w:u w:val="single"/>
    </w:rPr>
  </w:style>
  <w:style w:type="paragraph" w:customStyle="1" w:styleId="abs">
    <w:name w:val="abs"/>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t">
    <w:name w:val="abt"/>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b">
    <w:name w:val="yb"/>
    <w:basedOn w:val="DefaultParagraphFont"/>
    <w:rsid w:val="008F2842"/>
  </w:style>
  <w:style w:type="paragraph" w:customStyle="1" w:styleId="abu">
    <w:name w:val="ab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y">
    <w:name w:val="xy"/>
    <w:basedOn w:val="DefaultParagraphFont"/>
    <w:rsid w:val="008F2842"/>
  </w:style>
  <w:style w:type="paragraph" w:customStyle="1" w:styleId="aak">
    <w:name w:val="aak"/>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m">
    <w:name w:val="ym"/>
    <w:basedOn w:val="DefaultParagraphFont"/>
    <w:rsid w:val="008F2842"/>
  </w:style>
  <w:style w:type="paragraph" w:customStyle="1" w:styleId="xx">
    <w:name w:val="xx"/>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bv">
    <w:name w:val="abv"/>
    <w:basedOn w:val="DefaultParagraphFont"/>
    <w:rsid w:val="008F2842"/>
  </w:style>
  <w:style w:type="paragraph" w:customStyle="1" w:styleId="abw">
    <w:name w:val="abw"/>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x">
    <w:name w:val="abx"/>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y">
    <w:name w:val="aby"/>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bz">
    <w:name w:val="abz"/>
    <w:basedOn w:val="DefaultParagraphFont"/>
    <w:rsid w:val="008F2842"/>
  </w:style>
  <w:style w:type="paragraph" w:customStyle="1" w:styleId="aca">
    <w:name w:val="aca"/>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b">
    <w:name w:val="acb"/>
    <w:basedOn w:val="DefaultParagraphFont"/>
    <w:rsid w:val="008F2842"/>
  </w:style>
  <w:style w:type="paragraph" w:customStyle="1" w:styleId="acc">
    <w:name w:val="acc"/>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d">
    <w:name w:val="acd"/>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e">
    <w:name w:val="ace"/>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f">
    <w:name w:val="acf"/>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
    <w:name w:val="xf"/>
    <w:basedOn w:val="DefaultParagraphFont"/>
    <w:rsid w:val="008F2842"/>
  </w:style>
  <w:style w:type="paragraph" w:customStyle="1" w:styleId="acg">
    <w:name w:val="acg"/>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h">
    <w:name w:val="ach"/>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
    <w:name w:val="xd"/>
    <w:basedOn w:val="DefaultParagraphFont"/>
    <w:rsid w:val="008F2842"/>
  </w:style>
  <w:style w:type="paragraph" w:customStyle="1" w:styleId="aci">
    <w:name w:val="aci"/>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j">
    <w:name w:val="acj"/>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l">
    <w:name w:val="yl"/>
    <w:basedOn w:val="DefaultParagraphFont"/>
    <w:rsid w:val="008F2842"/>
  </w:style>
  <w:style w:type="paragraph" w:customStyle="1" w:styleId="a">
    <w:name w:val="a"/>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x">
    <w:name w:val="wx"/>
    <w:basedOn w:val="DefaultParagraphFont"/>
    <w:rsid w:val="008F2842"/>
  </w:style>
  <w:style w:type="paragraph" w:customStyle="1" w:styleId="acl">
    <w:name w:val="acl"/>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m">
    <w:name w:val="acm"/>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u">
    <w:name w:val="wu"/>
    <w:basedOn w:val="DefaultParagraphFont"/>
    <w:rsid w:val="008F2842"/>
  </w:style>
  <w:style w:type="character" w:customStyle="1" w:styleId="wr">
    <w:name w:val="wr"/>
    <w:basedOn w:val="DefaultParagraphFont"/>
    <w:rsid w:val="008F2842"/>
  </w:style>
  <w:style w:type="character" w:customStyle="1" w:styleId="wj">
    <w:name w:val="wj"/>
    <w:basedOn w:val="DefaultParagraphFont"/>
    <w:rsid w:val="008F2842"/>
  </w:style>
  <w:style w:type="character" w:customStyle="1" w:styleId="vq">
    <w:name w:val="vq"/>
    <w:basedOn w:val="DefaultParagraphFont"/>
    <w:rsid w:val="008F2842"/>
  </w:style>
  <w:style w:type="paragraph" w:customStyle="1" w:styleId="acn">
    <w:name w:val="acn"/>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j">
    <w:name w:val="uj"/>
    <w:basedOn w:val="DefaultParagraphFont"/>
    <w:rsid w:val="008F2842"/>
  </w:style>
  <w:style w:type="character" w:customStyle="1" w:styleId="ui">
    <w:name w:val="ui"/>
    <w:basedOn w:val="DefaultParagraphFont"/>
    <w:rsid w:val="008F2842"/>
  </w:style>
  <w:style w:type="character" w:customStyle="1" w:styleId="ud">
    <w:name w:val="ud"/>
    <w:basedOn w:val="DefaultParagraphFont"/>
    <w:rsid w:val="008F2842"/>
  </w:style>
  <w:style w:type="character" w:customStyle="1" w:styleId="pz">
    <w:name w:val="pz"/>
    <w:basedOn w:val="DefaultParagraphFont"/>
    <w:rsid w:val="008F2842"/>
  </w:style>
  <w:style w:type="paragraph" w:customStyle="1" w:styleId="acr">
    <w:name w:val="acr"/>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s">
    <w:name w:val="acs"/>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o">
    <w:name w:val="oo"/>
    <w:basedOn w:val="DefaultParagraphFont"/>
    <w:rsid w:val="008F2842"/>
  </w:style>
  <w:style w:type="paragraph" w:customStyle="1" w:styleId="act">
    <w:name w:val="act"/>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u">
    <w:name w:val="ac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v">
    <w:name w:val="ac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w">
    <w:name w:val="acw"/>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x">
    <w:name w:val="acx"/>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y">
    <w:name w:val="acy"/>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z">
    <w:name w:val="acz"/>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a">
    <w:name w:val="ada"/>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b">
    <w:name w:val="adb"/>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c">
    <w:name w:val="adc"/>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
    <w:name w:val="add"/>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e">
    <w:name w:val="ade"/>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f">
    <w:name w:val="adf"/>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f">
    <w:name w:val="mf"/>
    <w:basedOn w:val="DefaultParagraphFont"/>
    <w:rsid w:val="008F2842"/>
  </w:style>
  <w:style w:type="character" w:customStyle="1" w:styleId="lz">
    <w:name w:val="lz"/>
    <w:basedOn w:val="DefaultParagraphFont"/>
    <w:rsid w:val="008F2842"/>
  </w:style>
  <w:style w:type="paragraph" w:customStyle="1" w:styleId="adh">
    <w:name w:val="adh"/>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k">
    <w:name w:val="adk"/>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l">
    <w:name w:val="adl"/>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n">
    <w:name w:val="adn"/>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o">
    <w:name w:val="ado"/>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t">
    <w:name w:val="gt"/>
    <w:basedOn w:val="DefaultParagraphFont"/>
    <w:rsid w:val="008F2842"/>
  </w:style>
  <w:style w:type="paragraph" w:customStyle="1" w:styleId="adq">
    <w:name w:val="adq"/>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r">
    <w:name w:val="adr"/>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u">
    <w:name w:val="ad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v">
    <w:name w:val="ad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w">
    <w:name w:val="adw"/>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y">
    <w:name w:val="ady"/>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z">
    <w:name w:val="adz"/>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
    <w:name w:val="dc"/>
    <w:basedOn w:val="DefaultParagraphFont"/>
    <w:rsid w:val="008F2842"/>
  </w:style>
  <w:style w:type="paragraph" w:customStyle="1" w:styleId="aea">
    <w:name w:val="aea"/>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b">
    <w:name w:val="aeb"/>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c">
    <w:name w:val="aec"/>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d">
    <w:name w:val="aed"/>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c">
    <w:name w:val="cc"/>
    <w:basedOn w:val="DefaultParagraphFont"/>
    <w:rsid w:val="008F2842"/>
  </w:style>
  <w:style w:type="paragraph" w:customStyle="1" w:styleId="aee">
    <w:name w:val="aee"/>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f">
    <w:name w:val="aef"/>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g">
    <w:name w:val="aeg"/>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i">
    <w:name w:val="aei"/>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j">
    <w:name w:val="aej"/>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c">
    <w:name w:val="hc"/>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s">
    <w:name w:val="gs"/>
    <w:basedOn w:val="DefaultParagraphFont"/>
    <w:rsid w:val="008F2842"/>
  </w:style>
  <w:style w:type="character" w:customStyle="1" w:styleId="gm">
    <w:name w:val="gm"/>
    <w:basedOn w:val="DefaultParagraphFont"/>
    <w:rsid w:val="008F2842"/>
  </w:style>
  <w:style w:type="character" w:customStyle="1" w:styleId="gl">
    <w:name w:val="gl"/>
    <w:basedOn w:val="DefaultParagraphFont"/>
    <w:rsid w:val="008F2842"/>
  </w:style>
  <w:style w:type="paragraph" w:styleId="ListParagraph">
    <w:name w:val="List Paragraph"/>
    <w:basedOn w:val="Normal"/>
    <w:link w:val="ListParagraphChar"/>
    <w:uiPriority w:val="1"/>
    <w:qFormat/>
    <w:rsid w:val="008F2842"/>
    <w:pPr>
      <w:ind w:left="720"/>
      <w:contextualSpacing/>
    </w:pPr>
  </w:style>
  <w:style w:type="character" w:customStyle="1" w:styleId="ads">
    <w:name w:val="ads"/>
    <w:basedOn w:val="DefaultParagraphFont"/>
    <w:rsid w:val="008F2842"/>
  </w:style>
  <w:style w:type="character" w:customStyle="1" w:styleId="ack">
    <w:name w:val="ack"/>
    <w:basedOn w:val="DefaultParagraphFont"/>
    <w:rsid w:val="008F2842"/>
  </w:style>
  <w:style w:type="paragraph" w:customStyle="1" w:styleId="aeh">
    <w:name w:val="aeh"/>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k">
    <w:name w:val="aek"/>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p">
    <w:name w:val="adp"/>
    <w:basedOn w:val="DefaultParagraphFont"/>
    <w:rsid w:val="008F2842"/>
  </w:style>
  <w:style w:type="paragraph" w:customStyle="1" w:styleId="aem">
    <w:name w:val="aem"/>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n">
    <w:name w:val="aen"/>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m">
    <w:name w:val="aam"/>
    <w:basedOn w:val="DefaultParagraphFont"/>
    <w:rsid w:val="008F2842"/>
  </w:style>
  <w:style w:type="paragraph" w:customStyle="1" w:styleId="aeo">
    <w:name w:val="aeo"/>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p">
    <w:name w:val="aep"/>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q">
    <w:name w:val="aeq"/>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r">
    <w:name w:val="aer"/>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s">
    <w:name w:val="aes"/>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t">
    <w:name w:val="aet"/>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u">
    <w:name w:val="ae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h">
    <w:name w:val="aah"/>
    <w:basedOn w:val="DefaultParagraphFont"/>
    <w:rsid w:val="008F2842"/>
  </w:style>
  <w:style w:type="paragraph" w:customStyle="1" w:styleId="aev">
    <w:name w:val="ae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f">
    <w:name w:val="aaf"/>
    <w:basedOn w:val="DefaultParagraphFont"/>
    <w:rsid w:val="008F2842"/>
  </w:style>
  <w:style w:type="paragraph" w:customStyle="1" w:styleId="aex">
    <w:name w:val="aex"/>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y">
    <w:name w:val="aey"/>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ez">
    <w:name w:val="aez"/>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v">
    <w:name w:val="zv"/>
    <w:basedOn w:val="DefaultParagraphFont"/>
    <w:rsid w:val="008F2842"/>
  </w:style>
  <w:style w:type="paragraph" w:customStyle="1" w:styleId="afa">
    <w:name w:val="afa"/>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c">
    <w:name w:val="aac"/>
    <w:basedOn w:val="DefaultParagraphFont"/>
    <w:rsid w:val="008F2842"/>
  </w:style>
  <w:style w:type="paragraph" w:customStyle="1" w:styleId="afb">
    <w:name w:val="afb"/>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c">
    <w:name w:val="afc"/>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h">
    <w:name w:val="xh"/>
    <w:basedOn w:val="DefaultParagraphFont"/>
    <w:rsid w:val="008F2842"/>
  </w:style>
  <w:style w:type="character" w:customStyle="1" w:styleId="zz">
    <w:name w:val="zz"/>
    <w:basedOn w:val="DefaultParagraphFont"/>
    <w:rsid w:val="008F2842"/>
  </w:style>
  <w:style w:type="character" w:customStyle="1" w:styleId="pm">
    <w:name w:val="pm"/>
    <w:basedOn w:val="DefaultParagraphFont"/>
    <w:rsid w:val="008F2842"/>
  </w:style>
  <w:style w:type="paragraph" w:customStyle="1" w:styleId="afd">
    <w:name w:val="afd"/>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k">
    <w:name w:val="pk"/>
    <w:basedOn w:val="DefaultParagraphFont"/>
    <w:rsid w:val="008F2842"/>
  </w:style>
  <w:style w:type="character" w:customStyle="1" w:styleId="pj">
    <w:name w:val="pj"/>
    <w:basedOn w:val="DefaultParagraphFont"/>
    <w:rsid w:val="008F2842"/>
  </w:style>
  <w:style w:type="paragraph" w:customStyle="1" w:styleId="afe">
    <w:name w:val="afe"/>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f">
    <w:name w:val="aff"/>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d">
    <w:name w:val="pd"/>
    <w:basedOn w:val="DefaultParagraphFont"/>
    <w:rsid w:val="008F2842"/>
  </w:style>
  <w:style w:type="character" w:customStyle="1" w:styleId="pg">
    <w:name w:val="pg"/>
    <w:basedOn w:val="DefaultParagraphFont"/>
    <w:rsid w:val="008F2842"/>
  </w:style>
  <w:style w:type="character" w:customStyle="1" w:styleId="jy">
    <w:name w:val="jy"/>
    <w:basedOn w:val="DefaultParagraphFont"/>
    <w:rsid w:val="008F2842"/>
  </w:style>
  <w:style w:type="paragraph" w:customStyle="1" w:styleId="afi">
    <w:name w:val="afi"/>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k">
    <w:name w:val="afk"/>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l">
    <w:name w:val="afl"/>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n">
    <w:name w:val="afn"/>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
    <w:name w:val="ic"/>
    <w:basedOn w:val="DefaultParagraphFont"/>
    <w:rsid w:val="008F2842"/>
  </w:style>
  <w:style w:type="paragraph" w:customStyle="1" w:styleId="afo">
    <w:name w:val="afo"/>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
    <w:name w:val="hy"/>
    <w:basedOn w:val="DefaultParagraphFont"/>
    <w:rsid w:val="008F2842"/>
  </w:style>
  <w:style w:type="paragraph" w:customStyle="1" w:styleId="afp">
    <w:name w:val="afp"/>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q">
    <w:name w:val="hq"/>
    <w:basedOn w:val="DefaultParagraphFont"/>
    <w:rsid w:val="008F2842"/>
  </w:style>
  <w:style w:type="paragraph" w:customStyle="1" w:styleId="afq">
    <w:name w:val="afq"/>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r">
    <w:name w:val="afr"/>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t">
    <w:name w:val="aft"/>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u">
    <w:name w:val="af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v">
    <w:name w:val="af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w">
    <w:name w:val="afw"/>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x">
    <w:name w:val="afx"/>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y">
    <w:name w:val="afy"/>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8F2842"/>
  </w:style>
  <w:style w:type="paragraph" w:customStyle="1" w:styleId="Default">
    <w:name w:val="Default"/>
    <w:uiPriority w:val="99"/>
    <w:rsid w:val="008F2842"/>
    <w:pPr>
      <w:autoSpaceDE w:val="0"/>
      <w:autoSpaceDN w:val="0"/>
      <w:adjustRightInd w:val="0"/>
      <w:spacing w:after="0" w:line="240" w:lineRule="auto"/>
    </w:pPr>
    <w:rPr>
      <w:rFonts w:ascii="Arial" w:hAnsi="Arial" w:cs="Arial"/>
      <w:color w:val="000000"/>
      <w:sz w:val="24"/>
      <w:szCs w:val="24"/>
    </w:rPr>
  </w:style>
  <w:style w:type="paragraph" w:customStyle="1" w:styleId="cd">
    <w:name w:val="cd"/>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t">
    <w:name w:val="bt"/>
    <w:basedOn w:val="DefaultParagraphFont"/>
    <w:rsid w:val="008F2842"/>
  </w:style>
  <w:style w:type="paragraph" w:customStyle="1" w:styleId="ce">
    <w:name w:val="ce"/>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
    <w:name w:val="bo"/>
    <w:basedOn w:val="DefaultParagraphFont"/>
    <w:rsid w:val="008F2842"/>
  </w:style>
  <w:style w:type="character" w:customStyle="1" w:styleId="bn">
    <w:name w:val="bn"/>
    <w:basedOn w:val="DefaultParagraphFont"/>
    <w:rsid w:val="008F2842"/>
  </w:style>
  <w:style w:type="paragraph" w:customStyle="1" w:styleId="cf">
    <w:name w:val="cf"/>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m">
    <w:name w:val="bm"/>
    <w:basedOn w:val="DefaultParagraphFont"/>
    <w:rsid w:val="008F2842"/>
  </w:style>
  <w:style w:type="character" w:customStyle="1" w:styleId="bl">
    <w:name w:val="bl"/>
    <w:basedOn w:val="DefaultParagraphFont"/>
    <w:rsid w:val="008F2842"/>
  </w:style>
  <w:style w:type="character" w:customStyle="1" w:styleId="bk">
    <w:name w:val="bk"/>
    <w:basedOn w:val="DefaultParagraphFont"/>
    <w:rsid w:val="008F2842"/>
  </w:style>
  <w:style w:type="paragraph" w:customStyle="1" w:styleId="cg">
    <w:name w:val="cg"/>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
    <w:name w:val="ch"/>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h">
    <w:name w:val="bh"/>
    <w:basedOn w:val="DefaultParagraphFont"/>
    <w:rsid w:val="008F2842"/>
  </w:style>
  <w:style w:type="paragraph" w:customStyle="1" w:styleId="ci">
    <w:name w:val="ci"/>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z">
    <w:name w:val="ez"/>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r">
    <w:name w:val="er"/>
    <w:basedOn w:val="DefaultParagraphFont"/>
    <w:rsid w:val="008F2842"/>
  </w:style>
  <w:style w:type="paragraph" w:customStyle="1" w:styleId="bd">
    <w:name w:val="bd"/>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z">
    <w:name w:val="az"/>
    <w:basedOn w:val="DefaultParagraphFont"/>
    <w:rsid w:val="008F2842"/>
  </w:style>
  <w:style w:type="paragraph" w:customStyle="1" w:styleId="fl">
    <w:name w:val="fl"/>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x">
    <w:name w:val="dx"/>
    <w:basedOn w:val="DefaultParagraphFont"/>
    <w:rsid w:val="008F2842"/>
  </w:style>
  <w:style w:type="paragraph" w:customStyle="1" w:styleId="fb">
    <w:name w:val="fb"/>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s">
    <w:name w:val="es"/>
    <w:basedOn w:val="DefaultParagraphFont"/>
    <w:rsid w:val="008F2842"/>
  </w:style>
  <w:style w:type="paragraph" w:customStyle="1" w:styleId="be">
    <w:name w:val="be"/>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
    <w:name w:val="ba"/>
    <w:basedOn w:val="DefaultParagraphFont"/>
    <w:rsid w:val="008F2842"/>
  </w:style>
  <w:style w:type="paragraph" w:customStyle="1" w:styleId="bg">
    <w:name w:val="bg"/>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v">
    <w:name w:val="av"/>
    <w:basedOn w:val="DefaultParagraphFont"/>
    <w:rsid w:val="008F2842"/>
  </w:style>
  <w:style w:type="paragraph" w:customStyle="1" w:styleId="au">
    <w:name w:val="a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
    <w:name w:val="aq"/>
    <w:basedOn w:val="DefaultParagraphFont"/>
    <w:rsid w:val="008F2842"/>
  </w:style>
  <w:style w:type="paragraph" w:customStyle="1" w:styleId="as">
    <w:name w:val="as"/>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
    <w:name w:val="bi"/>
    <w:basedOn w:val="DefaultParagraphFont"/>
    <w:rsid w:val="008F2842"/>
  </w:style>
  <w:style w:type="character" w:customStyle="1" w:styleId="bc">
    <w:name w:val="bc"/>
    <w:basedOn w:val="DefaultParagraphFont"/>
    <w:rsid w:val="008F2842"/>
  </w:style>
  <w:style w:type="character" w:customStyle="1" w:styleId="bb">
    <w:name w:val="bb"/>
    <w:basedOn w:val="DefaultParagraphFont"/>
    <w:rsid w:val="008F2842"/>
  </w:style>
  <w:style w:type="paragraph" w:styleId="Header">
    <w:name w:val="header"/>
    <w:basedOn w:val="Normal"/>
    <w:link w:val="HeaderChar"/>
    <w:uiPriority w:val="99"/>
    <w:unhideWhenUsed/>
    <w:rsid w:val="008F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42"/>
  </w:style>
  <w:style w:type="paragraph" w:styleId="Footer">
    <w:name w:val="footer"/>
    <w:basedOn w:val="Normal"/>
    <w:link w:val="FooterChar"/>
    <w:uiPriority w:val="99"/>
    <w:unhideWhenUsed/>
    <w:rsid w:val="008F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42"/>
  </w:style>
  <w:style w:type="paragraph" w:styleId="NormalWeb">
    <w:name w:val="Normal (Web)"/>
    <w:basedOn w:val="Normal"/>
    <w:uiPriority w:val="99"/>
    <w:unhideWhenUsed/>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F2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842"/>
    <w:rPr>
      <w:rFonts w:ascii="Segoe UI" w:hAnsi="Segoe UI" w:cs="Segoe UI"/>
      <w:sz w:val="18"/>
      <w:szCs w:val="18"/>
    </w:rPr>
  </w:style>
  <w:style w:type="character" w:styleId="CommentReference">
    <w:name w:val="annotation reference"/>
    <w:basedOn w:val="DefaultParagraphFont"/>
    <w:uiPriority w:val="99"/>
    <w:semiHidden/>
    <w:unhideWhenUsed/>
    <w:rsid w:val="008F2842"/>
    <w:rPr>
      <w:sz w:val="16"/>
      <w:szCs w:val="16"/>
    </w:rPr>
  </w:style>
  <w:style w:type="paragraph" w:styleId="CommentText">
    <w:name w:val="annotation text"/>
    <w:basedOn w:val="Normal"/>
    <w:link w:val="CommentTextChar"/>
    <w:uiPriority w:val="99"/>
    <w:unhideWhenUsed/>
    <w:rsid w:val="008F2842"/>
    <w:pPr>
      <w:spacing w:line="240" w:lineRule="auto"/>
    </w:pPr>
    <w:rPr>
      <w:sz w:val="20"/>
      <w:szCs w:val="20"/>
    </w:rPr>
  </w:style>
  <w:style w:type="character" w:customStyle="1" w:styleId="CommentTextChar">
    <w:name w:val="Comment Text Char"/>
    <w:basedOn w:val="DefaultParagraphFont"/>
    <w:link w:val="CommentText"/>
    <w:uiPriority w:val="99"/>
    <w:rsid w:val="008F2842"/>
    <w:rPr>
      <w:sz w:val="20"/>
      <w:szCs w:val="20"/>
    </w:rPr>
  </w:style>
  <w:style w:type="paragraph" w:styleId="CommentSubject">
    <w:name w:val="annotation subject"/>
    <w:basedOn w:val="CommentText"/>
    <w:next w:val="CommentText"/>
    <w:link w:val="CommentSubjectChar"/>
    <w:uiPriority w:val="99"/>
    <w:semiHidden/>
    <w:unhideWhenUsed/>
    <w:rsid w:val="008F2842"/>
    <w:rPr>
      <w:b/>
      <w:bCs/>
    </w:rPr>
  </w:style>
  <w:style w:type="character" w:customStyle="1" w:styleId="CommentSubjectChar">
    <w:name w:val="Comment Subject Char"/>
    <w:basedOn w:val="CommentTextChar"/>
    <w:link w:val="CommentSubject"/>
    <w:uiPriority w:val="99"/>
    <w:semiHidden/>
    <w:rsid w:val="008F2842"/>
    <w:rPr>
      <w:b/>
      <w:bCs/>
      <w:sz w:val="20"/>
      <w:szCs w:val="20"/>
    </w:rPr>
  </w:style>
  <w:style w:type="paragraph" w:customStyle="1" w:styleId="BodyTextbook">
    <w:name w:val="Body Text book"/>
    <w:basedOn w:val="Normal"/>
    <w:uiPriority w:val="99"/>
    <w:rsid w:val="008F2842"/>
    <w:pPr>
      <w:suppressAutoHyphens/>
      <w:autoSpaceDE w:val="0"/>
      <w:autoSpaceDN w:val="0"/>
      <w:adjustRightInd w:val="0"/>
      <w:spacing w:after="0" w:line="240" w:lineRule="atLeast"/>
      <w:textAlignment w:val="center"/>
    </w:pPr>
    <w:rPr>
      <w:rFonts w:ascii="Avenir Book" w:hAnsi="Avenir Book" w:cs="Avenir Book"/>
      <w:color w:val="000000"/>
      <w:sz w:val="18"/>
      <w:szCs w:val="18"/>
    </w:rPr>
  </w:style>
  <w:style w:type="character" w:styleId="UnresolvedMention">
    <w:name w:val="Unresolved Mention"/>
    <w:basedOn w:val="DefaultParagraphFont"/>
    <w:uiPriority w:val="99"/>
    <w:semiHidden/>
    <w:unhideWhenUsed/>
    <w:rsid w:val="008F2842"/>
    <w:rPr>
      <w:color w:val="605E5C"/>
      <w:shd w:val="clear" w:color="auto" w:fill="E1DFDD"/>
    </w:rPr>
  </w:style>
  <w:style w:type="paragraph" w:customStyle="1" w:styleId="bp">
    <w:name w:val="bp"/>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q">
    <w:name w:val="bq"/>
    <w:basedOn w:val="DefaultParagraphFont"/>
    <w:rsid w:val="008F2842"/>
  </w:style>
  <w:style w:type="character" w:customStyle="1" w:styleId="br">
    <w:name w:val="br"/>
    <w:basedOn w:val="DefaultParagraphFont"/>
    <w:rsid w:val="008F2842"/>
  </w:style>
  <w:style w:type="character" w:customStyle="1" w:styleId="bs">
    <w:name w:val="bs"/>
    <w:basedOn w:val="DefaultParagraphFont"/>
    <w:rsid w:val="008F2842"/>
  </w:style>
  <w:style w:type="character" w:customStyle="1" w:styleId="u">
    <w:name w:val="u"/>
    <w:basedOn w:val="DefaultParagraphFont"/>
    <w:rsid w:val="008F2842"/>
  </w:style>
  <w:style w:type="character" w:customStyle="1" w:styleId="bu">
    <w:name w:val="bu"/>
    <w:basedOn w:val="DefaultParagraphFont"/>
    <w:rsid w:val="008F2842"/>
  </w:style>
  <w:style w:type="paragraph" w:customStyle="1" w:styleId="bv">
    <w:name w:val="b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x">
    <w:name w:val="ax"/>
    <w:basedOn w:val="DefaultParagraphFont"/>
    <w:rsid w:val="008F2842"/>
  </w:style>
  <w:style w:type="paragraph" w:customStyle="1" w:styleId="bw">
    <w:name w:val="bw"/>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
    <w:name w:val="at"/>
    <w:basedOn w:val="DefaultParagraphFont"/>
    <w:rsid w:val="008F2842"/>
  </w:style>
  <w:style w:type="paragraph" w:customStyle="1" w:styleId="tt">
    <w:name w:val="tt"/>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
    <w:name w:val="tg"/>
    <w:basedOn w:val="DefaultParagraphFont"/>
    <w:rsid w:val="008F2842"/>
  </w:style>
  <w:style w:type="character" w:customStyle="1" w:styleId="tu">
    <w:name w:val="tu"/>
    <w:basedOn w:val="DefaultParagraphFont"/>
    <w:rsid w:val="008F2842"/>
  </w:style>
  <w:style w:type="paragraph" w:customStyle="1" w:styleId="tv">
    <w:name w:val="t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
    <w:name w:val="te"/>
    <w:basedOn w:val="DefaultParagraphFont"/>
    <w:rsid w:val="008F2842"/>
  </w:style>
  <w:style w:type="paragraph" w:customStyle="1" w:styleId="tw">
    <w:name w:val="tw"/>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
    <w:name w:val="to"/>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y">
    <w:name w:val="ty"/>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
    <w:name w:val="ta"/>
    <w:basedOn w:val="DefaultParagraphFont"/>
    <w:rsid w:val="008F2842"/>
  </w:style>
  <w:style w:type="paragraph" w:customStyle="1" w:styleId="tz">
    <w:name w:val="tz"/>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b">
    <w:name w:val="ub"/>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j">
    <w:name w:val="tj"/>
    <w:basedOn w:val="DefaultParagraphFont"/>
    <w:rsid w:val="008F2842"/>
  </w:style>
  <w:style w:type="paragraph" w:customStyle="1" w:styleId="uc">
    <w:name w:val="uc"/>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b">
    <w:name w:val="sb"/>
    <w:basedOn w:val="DefaultParagraphFont"/>
    <w:rsid w:val="008F2842"/>
  </w:style>
  <w:style w:type="paragraph" w:customStyle="1" w:styleId="ue">
    <w:name w:val="ue"/>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y">
    <w:name w:val="ry"/>
    <w:basedOn w:val="DefaultParagraphFont"/>
    <w:rsid w:val="008F2842"/>
  </w:style>
  <w:style w:type="character" w:customStyle="1" w:styleId="rx">
    <w:name w:val="rx"/>
    <w:basedOn w:val="DefaultParagraphFont"/>
    <w:rsid w:val="008F2842"/>
  </w:style>
  <w:style w:type="paragraph" w:customStyle="1" w:styleId="uf">
    <w:name w:val="uf"/>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g">
    <w:name w:val="ug"/>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h">
    <w:name w:val="uh"/>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v">
    <w:name w:val="rv"/>
    <w:basedOn w:val="DefaultParagraphFont"/>
    <w:rsid w:val="008F2842"/>
  </w:style>
  <w:style w:type="character" w:customStyle="1" w:styleId="tp">
    <w:name w:val="tp"/>
    <w:basedOn w:val="DefaultParagraphFont"/>
    <w:rsid w:val="008F2842"/>
  </w:style>
  <w:style w:type="paragraph" w:customStyle="1" w:styleId="uk">
    <w:name w:val="uk"/>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l">
    <w:name w:val="ul"/>
    <w:basedOn w:val="DefaultParagraphFont"/>
    <w:rsid w:val="008F2842"/>
  </w:style>
  <w:style w:type="character" w:customStyle="1" w:styleId="rr">
    <w:name w:val="rr"/>
    <w:basedOn w:val="DefaultParagraphFont"/>
    <w:rsid w:val="008F2842"/>
  </w:style>
  <w:style w:type="paragraph" w:customStyle="1" w:styleId="um">
    <w:name w:val="um"/>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n">
    <w:name w:val="un"/>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o">
    <w:name w:val="uo"/>
    <w:basedOn w:val="DefaultParagraphFont"/>
    <w:rsid w:val="008F2842"/>
  </w:style>
  <w:style w:type="paragraph" w:customStyle="1" w:styleId="up">
    <w:name w:val="up"/>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q">
    <w:name w:val="uq"/>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r">
    <w:name w:val="ur"/>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l">
    <w:name w:val="rl"/>
    <w:basedOn w:val="DefaultParagraphFont"/>
    <w:rsid w:val="008F2842"/>
  </w:style>
  <w:style w:type="character" w:customStyle="1" w:styleId="re">
    <w:name w:val="re"/>
    <w:basedOn w:val="DefaultParagraphFont"/>
    <w:rsid w:val="008F2842"/>
  </w:style>
  <w:style w:type="paragraph" w:customStyle="1" w:styleId="ut">
    <w:name w:val="ut"/>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u">
    <w:name w:val="u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v">
    <w:name w:val="u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b">
    <w:name w:val="rb"/>
    <w:basedOn w:val="DefaultParagraphFont"/>
    <w:rsid w:val="008F2842"/>
  </w:style>
  <w:style w:type="character" w:customStyle="1" w:styleId="qz">
    <w:name w:val="qz"/>
    <w:basedOn w:val="DefaultParagraphFont"/>
    <w:rsid w:val="008F2842"/>
  </w:style>
  <w:style w:type="character" w:customStyle="1" w:styleId="qy">
    <w:name w:val="qy"/>
    <w:basedOn w:val="DefaultParagraphFont"/>
    <w:rsid w:val="008F2842"/>
  </w:style>
  <w:style w:type="character" w:customStyle="1" w:styleId="qx">
    <w:name w:val="qx"/>
    <w:basedOn w:val="DefaultParagraphFont"/>
    <w:rsid w:val="008F2842"/>
  </w:style>
  <w:style w:type="character" w:customStyle="1" w:styleId="qw">
    <w:name w:val="qw"/>
    <w:basedOn w:val="DefaultParagraphFont"/>
    <w:rsid w:val="008F2842"/>
  </w:style>
  <w:style w:type="paragraph" w:customStyle="1" w:styleId="gb">
    <w:name w:val="gb"/>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
    <w:name w:val="fi"/>
    <w:basedOn w:val="DefaultParagraphFont"/>
    <w:rsid w:val="008F2842"/>
  </w:style>
  <w:style w:type="paragraph" w:customStyle="1" w:styleId="ga">
    <w:name w:val="ga"/>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g">
    <w:name w:val="gg"/>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h">
    <w:name w:val="gh"/>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w">
    <w:name w:val="ew"/>
    <w:basedOn w:val="DefaultParagraphFont"/>
    <w:rsid w:val="008F2842"/>
  </w:style>
  <w:style w:type="character" w:customStyle="1" w:styleId="eu">
    <w:name w:val="eu"/>
    <w:basedOn w:val="DefaultParagraphFont"/>
    <w:rsid w:val="008F2842"/>
  </w:style>
  <w:style w:type="character" w:customStyle="1" w:styleId="ay">
    <w:name w:val="ay"/>
    <w:basedOn w:val="DefaultParagraphFont"/>
    <w:rsid w:val="008F2842"/>
  </w:style>
  <w:style w:type="paragraph" w:customStyle="1" w:styleId="bf">
    <w:name w:val="bf"/>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w">
    <w:name w:val="aw"/>
    <w:basedOn w:val="DefaultParagraphFont"/>
    <w:rsid w:val="008F2842"/>
  </w:style>
  <w:style w:type="paragraph" w:customStyle="1" w:styleId="bj">
    <w:name w:val="bj"/>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
    <w:name w:val="ap"/>
    <w:basedOn w:val="DefaultParagraphFont"/>
    <w:rsid w:val="008F2842"/>
  </w:style>
  <w:style w:type="character" w:customStyle="1" w:styleId="dk">
    <w:name w:val="dk"/>
    <w:basedOn w:val="DefaultParagraphFont"/>
    <w:rsid w:val="008F2842"/>
  </w:style>
  <w:style w:type="character" w:customStyle="1" w:styleId="df">
    <w:name w:val="df"/>
    <w:basedOn w:val="DefaultParagraphFont"/>
    <w:rsid w:val="008F2842"/>
  </w:style>
  <w:style w:type="paragraph" w:customStyle="1" w:styleId="ed">
    <w:name w:val="ed"/>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u">
    <w:name w:val="du"/>
    <w:basedOn w:val="DefaultParagraphFont"/>
    <w:rsid w:val="008F2842"/>
  </w:style>
  <w:style w:type="character" w:customStyle="1" w:styleId="dn">
    <w:name w:val="dn"/>
    <w:basedOn w:val="DefaultParagraphFont"/>
    <w:rsid w:val="008F2842"/>
  </w:style>
  <w:style w:type="character" w:customStyle="1" w:styleId="dm">
    <w:name w:val="dm"/>
    <w:basedOn w:val="DefaultParagraphFont"/>
    <w:rsid w:val="008F2842"/>
  </w:style>
  <w:style w:type="character" w:customStyle="1" w:styleId="ar">
    <w:name w:val="ar"/>
    <w:basedOn w:val="DefaultParagraphFont"/>
    <w:rsid w:val="008F2842"/>
  </w:style>
  <w:style w:type="paragraph" w:customStyle="1" w:styleId="cv">
    <w:name w:val="c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w">
    <w:name w:val="cw"/>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x">
    <w:name w:val="cx"/>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
    <w:name w:val="cu"/>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q">
    <w:name w:val="fq"/>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
    <w:name w:val="fr"/>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s">
    <w:name w:val="fs"/>
    <w:basedOn w:val="DefaultParagraphFont"/>
    <w:rsid w:val="008F2842"/>
  </w:style>
  <w:style w:type="character" w:customStyle="1" w:styleId="dq">
    <w:name w:val="dq"/>
    <w:basedOn w:val="DefaultParagraphFont"/>
    <w:rsid w:val="008F2842"/>
  </w:style>
  <w:style w:type="character" w:customStyle="1" w:styleId="ft">
    <w:name w:val="ft"/>
    <w:basedOn w:val="DefaultParagraphFont"/>
    <w:rsid w:val="008F2842"/>
  </w:style>
  <w:style w:type="character" w:customStyle="1" w:styleId="ej">
    <w:name w:val="ej"/>
    <w:basedOn w:val="DefaultParagraphFont"/>
    <w:rsid w:val="008F2842"/>
  </w:style>
  <w:style w:type="character" w:customStyle="1" w:styleId="dp">
    <w:name w:val="dp"/>
    <w:basedOn w:val="DefaultParagraphFont"/>
    <w:rsid w:val="008F2842"/>
  </w:style>
  <w:style w:type="character" w:customStyle="1" w:styleId="fu">
    <w:name w:val="fu"/>
    <w:basedOn w:val="DefaultParagraphFont"/>
    <w:rsid w:val="008F2842"/>
  </w:style>
  <w:style w:type="character" w:customStyle="1" w:styleId="ea">
    <w:name w:val="ea"/>
    <w:basedOn w:val="DefaultParagraphFont"/>
    <w:rsid w:val="008F2842"/>
  </w:style>
  <w:style w:type="paragraph" w:customStyle="1" w:styleId="fv">
    <w:name w:val="fv"/>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F284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8F2842"/>
    <w:pPr>
      <w:spacing w:before="140" w:after="0" w:line="276" w:lineRule="auto"/>
    </w:pPr>
    <w:rPr>
      <w:rFonts w:eastAsiaTheme="minorEastAsia"/>
      <w:color w:val="000000" w:themeColor="text1"/>
      <w:sz w:val="20"/>
      <w:lang w:eastAsia="en-GB"/>
    </w:rPr>
  </w:style>
  <w:style w:type="character" w:customStyle="1" w:styleId="BodyTextChar">
    <w:name w:val="Body Text Char"/>
    <w:basedOn w:val="DefaultParagraphFont"/>
    <w:link w:val="BodyText"/>
    <w:uiPriority w:val="99"/>
    <w:rsid w:val="008F2842"/>
    <w:rPr>
      <w:rFonts w:eastAsiaTheme="minorEastAsia"/>
      <w:color w:val="000000" w:themeColor="text1"/>
      <w:sz w:val="20"/>
      <w:lang w:eastAsia="en-GB"/>
    </w:rPr>
  </w:style>
  <w:style w:type="paragraph" w:customStyle="1" w:styleId="sp">
    <w:name w:val="sp"/>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r">
    <w:name w:val="qr"/>
    <w:basedOn w:val="DefaultParagraphFont"/>
    <w:rsid w:val="008F2842"/>
  </w:style>
  <w:style w:type="paragraph" w:customStyle="1" w:styleId="im">
    <w:name w:val="im"/>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f">
    <w:name w:val="if"/>
    <w:basedOn w:val="DefaultParagraphFont"/>
    <w:rsid w:val="008F2842"/>
  </w:style>
  <w:style w:type="paragraph" w:customStyle="1" w:styleId="in">
    <w:name w:val="in"/>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z">
    <w:name w:val="hz"/>
    <w:basedOn w:val="DefaultParagraphFont"/>
    <w:rsid w:val="008F2842"/>
  </w:style>
  <w:style w:type="paragraph" w:customStyle="1" w:styleId="sl">
    <w:name w:val="sl"/>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l">
    <w:name w:val="il"/>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j">
    <w:name w:val="rj"/>
    <w:basedOn w:val="DefaultParagraphFont"/>
    <w:rsid w:val="008F2842"/>
  </w:style>
  <w:style w:type="paragraph" w:customStyle="1" w:styleId="ao">
    <w:name w:val="ao"/>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
    <w:name w:val="th"/>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F2842"/>
    <w:pPr>
      <w:spacing w:after="0" w:line="240" w:lineRule="auto"/>
    </w:pPr>
  </w:style>
  <w:style w:type="character" w:customStyle="1" w:styleId="ayi">
    <w:name w:val="ayi"/>
    <w:basedOn w:val="DefaultParagraphFont"/>
    <w:rsid w:val="008F2842"/>
  </w:style>
  <w:style w:type="table" w:customStyle="1" w:styleId="TableGrid1">
    <w:name w:val="Table Grid1"/>
    <w:basedOn w:val="TableNormal"/>
    <w:next w:val="TableGrid"/>
    <w:uiPriority w:val="39"/>
    <w:rsid w:val="008F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842"/>
    <w:pPr>
      <w:spacing w:after="0" w:line="240" w:lineRule="auto"/>
    </w:pPr>
  </w:style>
  <w:style w:type="character" w:customStyle="1" w:styleId="cz">
    <w:name w:val="cz"/>
    <w:basedOn w:val="DefaultParagraphFont"/>
    <w:rsid w:val="008F2842"/>
  </w:style>
  <w:style w:type="character" w:customStyle="1" w:styleId="da">
    <w:name w:val="da"/>
    <w:basedOn w:val="DefaultParagraphFont"/>
    <w:rsid w:val="008F2842"/>
  </w:style>
  <w:style w:type="character" w:customStyle="1" w:styleId="cl">
    <w:name w:val="cl"/>
    <w:basedOn w:val="DefaultParagraphFont"/>
    <w:rsid w:val="008F2842"/>
  </w:style>
  <w:style w:type="paragraph" w:customStyle="1" w:styleId="cy">
    <w:name w:val="cy"/>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
    <w:name w:val="co"/>
    <w:basedOn w:val="DefaultParagraphFont"/>
    <w:rsid w:val="008F2842"/>
  </w:style>
  <w:style w:type="character" w:customStyle="1" w:styleId="cm">
    <w:name w:val="cm"/>
    <w:basedOn w:val="DefaultParagraphFont"/>
    <w:rsid w:val="008F2842"/>
  </w:style>
  <w:style w:type="character" w:customStyle="1" w:styleId="db">
    <w:name w:val="db"/>
    <w:basedOn w:val="DefaultParagraphFont"/>
    <w:rsid w:val="008F2842"/>
  </w:style>
  <w:style w:type="character" w:customStyle="1" w:styleId="cr">
    <w:name w:val="cr"/>
    <w:basedOn w:val="DefaultParagraphFont"/>
    <w:rsid w:val="008F2842"/>
  </w:style>
  <w:style w:type="character" w:customStyle="1" w:styleId="dg">
    <w:name w:val="dg"/>
    <w:basedOn w:val="DefaultParagraphFont"/>
    <w:rsid w:val="008F2842"/>
  </w:style>
  <w:style w:type="paragraph" w:customStyle="1" w:styleId="amx">
    <w:name w:val="amx"/>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
    <w:name w:val="gc"/>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8F2842"/>
  </w:style>
  <w:style w:type="character" w:customStyle="1" w:styleId="ey">
    <w:name w:val="ey"/>
    <w:basedOn w:val="DefaultParagraphFont"/>
    <w:rsid w:val="008F2842"/>
  </w:style>
  <w:style w:type="paragraph" w:customStyle="1" w:styleId="fx">
    <w:name w:val="fx"/>
    <w:basedOn w:val="Normal"/>
    <w:uiPriority w:val="99"/>
    <w:rsid w:val="008F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m">
    <w:name w:val="alm"/>
    <w:basedOn w:val="DefaultParagraphFont"/>
    <w:rsid w:val="008F2842"/>
  </w:style>
  <w:style w:type="paragraph" w:styleId="EndnoteText">
    <w:name w:val="endnote text"/>
    <w:basedOn w:val="Normal"/>
    <w:link w:val="EndnoteTextChar"/>
    <w:uiPriority w:val="99"/>
    <w:semiHidden/>
    <w:unhideWhenUsed/>
    <w:rsid w:val="00120C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0CD9"/>
    <w:rPr>
      <w:sz w:val="20"/>
      <w:szCs w:val="20"/>
    </w:rPr>
  </w:style>
  <w:style w:type="character" w:styleId="EndnoteReference">
    <w:name w:val="endnote reference"/>
    <w:basedOn w:val="DefaultParagraphFont"/>
    <w:uiPriority w:val="99"/>
    <w:semiHidden/>
    <w:unhideWhenUsed/>
    <w:rsid w:val="00120CD9"/>
    <w:rPr>
      <w:vertAlign w:val="superscript"/>
    </w:rPr>
  </w:style>
  <w:style w:type="paragraph" w:styleId="FootnoteText">
    <w:name w:val="footnote text"/>
    <w:basedOn w:val="Normal"/>
    <w:link w:val="FootnoteTextChar"/>
    <w:uiPriority w:val="99"/>
    <w:semiHidden/>
    <w:unhideWhenUsed/>
    <w:rsid w:val="006864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4EF"/>
    <w:rPr>
      <w:sz w:val="20"/>
      <w:szCs w:val="20"/>
    </w:rPr>
  </w:style>
  <w:style w:type="character" w:styleId="FootnoteReference">
    <w:name w:val="footnote reference"/>
    <w:basedOn w:val="DefaultParagraphFont"/>
    <w:uiPriority w:val="99"/>
    <w:semiHidden/>
    <w:unhideWhenUsed/>
    <w:rsid w:val="006864EF"/>
    <w:rPr>
      <w:vertAlign w:val="superscript"/>
    </w:rPr>
  </w:style>
  <w:style w:type="table" w:customStyle="1" w:styleId="TableGrid2">
    <w:name w:val="Table Grid2"/>
    <w:basedOn w:val="TableNormal"/>
    <w:next w:val="TableGrid"/>
    <w:uiPriority w:val="39"/>
    <w:rsid w:val="0060440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90303"/>
    <w:pPr>
      <w:widowControl w:val="0"/>
      <w:autoSpaceDE w:val="0"/>
      <w:autoSpaceDN w:val="0"/>
      <w:spacing w:after="0" w:line="240" w:lineRule="auto"/>
    </w:pPr>
    <w:rPr>
      <w:rFonts w:ascii="Avenir Book" w:eastAsia="Avenir Book" w:hAnsi="Avenir Book" w:cs="Avenir Book"/>
      <w:lang w:val="en-US"/>
    </w:rPr>
  </w:style>
  <w:style w:type="paragraph" w:customStyle="1" w:styleId="font5">
    <w:name w:val="font5"/>
    <w:basedOn w:val="Normal"/>
    <w:uiPriority w:val="99"/>
    <w:rsid w:val="00B90303"/>
    <w:pPr>
      <w:spacing w:before="100" w:beforeAutospacing="1" w:after="100" w:afterAutospacing="1" w:line="240" w:lineRule="auto"/>
    </w:pPr>
    <w:rPr>
      <w:rFonts w:ascii="Aptos Narrow" w:eastAsia="Times New Roman" w:hAnsi="Aptos Narrow" w:cs="Times New Roman"/>
      <w:color w:val="FF0000"/>
      <w:lang w:eastAsia="en-GB"/>
    </w:rPr>
  </w:style>
  <w:style w:type="paragraph" w:customStyle="1" w:styleId="font6">
    <w:name w:val="font6"/>
    <w:basedOn w:val="Normal"/>
    <w:uiPriority w:val="99"/>
    <w:rsid w:val="00B90303"/>
    <w:pPr>
      <w:spacing w:before="100" w:beforeAutospacing="1" w:after="100" w:afterAutospacing="1" w:line="240" w:lineRule="auto"/>
    </w:pPr>
    <w:rPr>
      <w:rFonts w:ascii="Wingdings 2" w:eastAsia="Times New Roman" w:hAnsi="Wingdings 2" w:cs="Times New Roman"/>
      <w:color w:val="FF0000"/>
      <w:lang w:eastAsia="en-GB"/>
    </w:rPr>
  </w:style>
  <w:style w:type="paragraph" w:customStyle="1" w:styleId="xl74">
    <w:name w:val="xl74"/>
    <w:basedOn w:val="Normal"/>
    <w:uiPriority w:val="99"/>
    <w:rsid w:val="00B9030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uiPriority w:val="99"/>
    <w:rsid w:val="00B90303"/>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xl76">
    <w:name w:val="xl76"/>
    <w:basedOn w:val="Normal"/>
    <w:uiPriority w:val="99"/>
    <w:rsid w:val="00B9030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7">
    <w:name w:val="xl77"/>
    <w:basedOn w:val="Normal"/>
    <w:uiPriority w:val="99"/>
    <w:rsid w:val="00B9030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8">
    <w:name w:val="xl78"/>
    <w:basedOn w:val="Normal"/>
    <w:uiPriority w:val="99"/>
    <w:rsid w:val="00B90303"/>
    <w:pPr>
      <w:shd w:val="clear" w:color="000000" w:fill="FFFFFF"/>
      <w:spacing w:before="100" w:beforeAutospacing="1" w:after="100" w:afterAutospacing="1" w:line="240" w:lineRule="auto"/>
    </w:pPr>
    <w:rPr>
      <w:rFonts w:ascii="Segoe UI Symbol" w:eastAsia="Times New Roman" w:hAnsi="Segoe UI Symbol" w:cs="Times New Roman"/>
      <w:sz w:val="24"/>
      <w:szCs w:val="24"/>
      <w:lang w:eastAsia="en-GB"/>
    </w:rPr>
  </w:style>
  <w:style w:type="paragraph" w:customStyle="1" w:styleId="xl79">
    <w:name w:val="xl79"/>
    <w:basedOn w:val="Normal"/>
    <w:uiPriority w:val="99"/>
    <w:rsid w:val="00B90303"/>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xl80">
    <w:name w:val="xl80"/>
    <w:basedOn w:val="Normal"/>
    <w:uiPriority w:val="99"/>
    <w:rsid w:val="00B9030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GB"/>
    </w:rPr>
  </w:style>
  <w:style w:type="paragraph" w:customStyle="1" w:styleId="xl81">
    <w:name w:val="xl81"/>
    <w:basedOn w:val="Normal"/>
    <w:uiPriority w:val="99"/>
    <w:rsid w:val="00B90303"/>
    <w:pPr>
      <w:shd w:val="clear" w:color="000000" w:fill="FFFFFF"/>
      <w:spacing w:before="100" w:beforeAutospacing="1" w:after="100" w:afterAutospacing="1" w:line="240" w:lineRule="auto"/>
    </w:pPr>
    <w:rPr>
      <w:rFonts w:ascii="Segoe UI Symbol" w:eastAsia="Times New Roman" w:hAnsi="Segoe UI Symbol" w:cs="Times New Roman"/>
      <w:color w:val="FF0000"/>
      <w:sz w:val="24"/>
      <w:szCs w:val="24"/>
      <w:lang w:eastAsia="en-GB"/>
    </w:rPr>
  </w:style>
  <w:style w:type="paragraph" w:customStyle="1" w:styleId="xl82">
    <w:name w:val="xl82"/>
    <w:basedOn w:val="Normal"/>
    <w:uiPriority w:val="99"/>
    <w:rsid w:val="00B9030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867">
      <w:bodyDiv w:val="1"/>
      <w:marLeft w:val="0"/>
      <w:marRight w:val="0"/>
      <w:marTop w:val="0"/>
      <w:marBottom w:val="0"/>
      <w:divBdr>
        <w:top w:val="none" w:sz="0" w:space="0" w:color="auto"/>
        <w:left w:val="none" w:sz="0" w:space="0" w:color="auto"/>
        <w:bottom w:val="none" w:sz="0" w:space="0" w:color="auto"/>
        <w:right w:val="none" w:sz="0" w:space="0" w:color="auto"/>
      </w:divBdr>
    </w:div>
    <w:div w:id="189028023">
      <w:bodyDiv w:val="1"/>
      <w:marLeft w:val="0"/>
      <w:marRight w:val="0"/>
      <w:marTop w:val="0"/>
      <w:marBottom w:val="0"/>
      <w:divBdr>
        <w:top w:val="none" w:sz="0" w:space="0" w:color="auto"/>
        <w:left w:val="none" w:sz="0" w:space="0" w:color="auto"/>
        <w:bottom w:val="none" w:sz="0" w:space="0" w:color="auto"/>
        <w:right w:val="none" w:sz="0" w:space="0" w:color="auto"/>
      </w:divBdr>
    </w:div>
    <w:div w:id="278142911">
      <w:bodyDiv w:val="1"/>
      <w:marLeft w:val="0"/>
      <w:marRight w:val="0"/>
      <w:marTop w:val="0"/>
      <w:marBottom w:val="0"/>
      <w:divBdr>
        <w:top w:val="none" w:sz="0" w:space="0" w:color="auto"/>
        <w:left w:val="none" w:sz="0" w:space="0" w:color="auto"/>
        <w:bottom w:val="none" w:sz="0" w:space="0" w:color="auto"/>
        <w:right w:val="none" w:sz="0" w:space="0" w:color="auto"/>
      </w:divBdr>
    </w:div>
    <w:div w:id="355274658">
      <w:bodyDiv w:val="1"/>
      <w:marLeft w:val="0"/>
      <w:marRight w:val="0"/>
      <w:marTop w:val="0"/>
      <w:marBottom w:val="0"/>
      <w:divBdr>
        <w:top w:val="none" w:sz="0" w:space="0" w:color="auto"/>
        <w:left w:val="none" w:sz="0" w:space="0" w:color="auto"/>
        <w:bottom w:val="none" w:sz="0" w:space="0" w:color="auto"/>
        <w:right w:val="none" w:sz="0" w:space="0" w:color="auto"/>
      </w:divBdr>
    </w:div>
    <w:div w:id="587928466">
      <w:bodyDiv w:val="1"/>
      <w:marLeft w:val="0"/>
      <w:marRight w:val="0"/>
      <w:marTop w:val="0"/>
      <w:marBottom w:val="0"/>
      <w:divBdr>
        <w:top w:val="none" w:sz="0" w:space="0" w:color="auto"/>
        <w:left w:val="none" w:sz="0" w:space="0" w:color="auto"/>
        <w:bottom w:val="none" w:sz="0" w:space="0" w:color="auto"/>
        <w:right w:val="none" w:sz="0" w:space="0" w:color="auto"/>
      </w:divBdr>
    </w:div>
    <w:div w:id="702751657">
      <w:bodyDiv w:val="1"/>
      <w:marLeft w:val="0"/>
      <w:marRight w:val="0"/>
      <w:marTop w:val="0"/>
      <w:marBottom w:val="0"/>
      <w:divBdr>
        <w:top w:val="none" w:sz="0" w:space="0" w:color="auto"/>
        <w:left w:val="none" w:sz="0" w:space="0" w:color="auto"/>
        <w:bottom w:val="none" w:sz="0" w:space="0" w:color="auto"/>
        <w:right w:val="none" w:sz="0" w:space="0" w:color="auto"/>
      </w:divBdr>
    </w:div>
    <w:div w:id="859468602">
      <w:bodyDiv w:val="1"/>
      <w:marLeft w:val="0"/>
      <w:marRight w:val="0"/>
      <w:marTop w:val="0"/>
      <w:marBottom w:val="0"/>
      <w:divBdr>
        <w:top w:val="none" w:sz="0" w:space="0" w:color="auto"/>
        <w:left w:val="none" w:sz="0" w:space="0" w:color="auto"/>
        <w:bottom w:val="none" w:sz="0" w:space="0" w:color="auto"/>
        <w:right w:val="none" w:sz="0" w:space="0" w:color="auto"/>
      </w:divBdr>
    </w:div>
    <w:div w:id="1061907069">
      <w:bodyDiv w:val="1"/>
      <w:marLeft w:val="0"/>
      <w:marRight w:val="0"/>
      <w:marTop w:val="0"/>
      <w:marBottom w:val="0"/>
      <w:divBdr>
        <w:top w:val="none" w:sz="0" w:space="0" w:color="auto"/>
        <w:left w:val="none" w:sz="0" w:space="0" w:color="auto"/>
        <w:bottom w:val="none" w:sz="0" w:space="0" w:color="auto"/>
        <w:right w:val="none" w:sz="0" w:space="0" w:color="auto"/>
      </w:divBdr>
    </w:div>
    <w:div w:id="1157381060">
      <w:bodyDiv w:val="1"/>
      <w:marLeft w:val="0"/>
      <w:marRight w:val="0"/>
      <w:marTop w:val="0"/>
      <w:marBottom w:val="0"/>
      <w:divBdr>
        <w:top w:val="none" w:sz="0" w:space="0" w:color="auto"/>
        <w:left w:val="none" w:sz="0" w:space="0" w:color="auto"/>
        <w:bottom w:val="none" w:sz="0" w:space="0" w:color="auto"/>
        <w:right w:val="none" w:sz="0" w:space="0" w:color="auto"/>
      </w:divBdr>
    </w:div>
    <w:div w:id="1182550931">
      <w:bodyDiv w:val="1"/>
      <w:marLeft w:val="0"/>
      <w:marRight w:val="0"/>
      <w:marTop w:val="0"/>
      <w:marBottom w:val="0"/>
      <w:divBdr>
        <w:top w:val="none" w:sz="0" w:space="0" w:color="auto"/>
        <w:left w:val="none" w:sz="0" w:space="0" w:color="auto"/>
        <w:bottom w:val="none" w:sz="0" w:space="0" w:color="auto"/>
        <w:right w:val="none" w:sz="0" w:space="0" w:color="auto"/>
      </w:divBdr>
    </w:div>
    <w:div w:id="1238588331">
      <w:bodyDiv w:val="1"/>
      <w:marLeft w:val="0"/>
      <w:marRight w:val="0"/>
      <w:marTop w:val="0"/>
      <w:marBottom w:val="0"/>
      <w:divBdr>
        <w:top w:val="none" w:sz="0" w:space="0" w:color="auto"/>
        <w:left w:val="none" w:sz="0" w:space="0" w:color="auto"/>
        <w:bottom w:val="none" w:sz="0" w:space="0" w:color="auto"/>
        <w:right w:val="none" w:sz="0" w:space="0" w:color="auto"/>
      </w:divBdr>
    </w:div>
    <w:div w:id="1253516608">
      <w:bodyDiv w:val="1"/>
      <w:marLeft w:val="0"/>
      <w:marRight w:val="0"/>
      <w:marTop w:val="0"/>
      <w:marBottom w:val="0"/>
      <w:divBdr>
        <w:top w:val="none" w:sz="0" w:space="0" w:color="auto"/>
        <w:left w:val="none" w:sz="0" w:space="0" w:color="auto"/>
        <w:bottom w:val="none" w:sz="0" w:space="0" w:color="auto"/>
        <w:right w:val="none" w:sz="0" w:space="0" w:color="auto"/>
      </w:divBdr>
    </w:div>
    <w:div w:id="1297024153">
      <w:bodyDiv w:val="1"/>
      <w:marLeft w:val="0"/>
      <w:marRight w:val="0"/>
      <w:marTop w:val="0"/>
      <w:marBottom w:val="0"/>
      <w:divBdr>
        <w:top w:val="none" w:sz="0" w:space="0" w:color="auto"/>
        <w:left w:val="none" w:sz="0" w:space="0" w:color="auto"/>
        <w:bottom w:val="none" w:sz="0" w:space="0" w:color="auto"/>
        <w:right w:val="none" w:sz="0" w:space="0" w:color="auto"/>
      </w:divBdr>
    </w:div>
    <w:div w:id="1337881848">
      <w:bodyDiv w:val="1"/>
      <w:marLeft w:val="0"/>
      <w:marRight w:val="0"/>
      <w:marTop w:val="0"/>
      <w:marBottom w:val="0"/>
      <w:divBdr>
        <w:top w:val="none" w:sz="0" w:space="0" w:color="auto"/>
        <w:left w:val="none" w:sz="0" w:space="0" w:color="auto"/>
        <w:bottom w:val="none" w:sz="0" w:space="0" w:color="auto"/>
        <w:right w:val="none" w:sz="0" w:space="0" w:color="auto"/>
      </w:divBdr>
    </w:div>
    <w:div w:id="1375469972">
      <w:bodyDiv w:val="1"/>
      <w:marLeft w:val="0"/>
      <w:marRight w:val="0"/>
      <w:marTop w:val="0"/>
      <w:marBottom w:val="0"/>
      <w:divBdr>
        <w:top w:val="none" w:sz="0" w:space="0" w:color="auto"/>
        <w:left w:val="none" w:sz="0" w:space="0" w:color="auto"/>
        <w:bottom w:val="none" w:sz="0" w:space="0" w:color="auto"/>
        <w:right w:val="none" w:sz="0" w:space="0" w:color="auto"/>
      </w:divBdr>
    </w:div>
    <w:div w:id="1412309004">
      <w:bodyDiv w:val="1"/>
      <w:marLeft w:val="0"/>
      <w:marRight w:val="0"/>
      <w:marTop w:val="0"/>
      <w:marBottom w:val="0"/>
      <w:divBdr>
        <w:top w:val="none" w:sz="0" w:space="0" w:color="auto"/>
        <w:left w:val="none" w:sz="0" w:space="0" w:color="auto"/>
        <w:bottom w:val="none" w:sz="0" w:space="0" w:color="auto"/>
        <w:right w:val="none" w:sz="0" w:space="0" w:color="auto"/>
      </w:divBdr>
    </w:div>
    <w:div w:id="1582107620">
      <w:bodyDiv w:val="1"/>
      <w:marLeft w:val="0"/>
      <w:marRight w:val="0"/>
      <w:marTop w:val="0"/>
      <w:marBottom w:val="0"/>
      <w:divBdr>
        <w:top w:val="none" w:sz="0" w:space="0" w:color="auto"/>
        <w:left w:val="none" w:sz="0" w:space="0" w:color="auto"/>
        <w:bottom w:val="none" w:sz="0" w:space="0" w:color="auto"/>
        <w:right w:val="none" w:sz="0" w:space="0" w:color="auto"/>
      </w:divBdr>
    </w:div>
    <w:div w:id="1584994288">
      <w:bodyDiv w:val="1"/>
      <w:marLeft w:val="0"/>
      <w:marRight w:val="0"/>
      <w:marTop w:val="0"/>
      <w:marBottom w:val="0"/>
      <w:divBdr>
        <w:top w:val="none" w:sz="0" w:space="0" w:color="auto"/>
        <w:left w:val="none" w:sz="0" w:space="0" w:color="auto"/>
        <w:bottom w:val="none" w:sz="0" w:space="0" w:color="auto"/>
        <w:right w:val="none" w:sz="0" w:space="0" w:color="auto"/>
      </w:divBdr>
    </w:div>
    <w:div w:id="1663044674">
      <w:bodyDiv w:val="1"/>
      <w:marLeft w:val="0"/>
      <w:marRight w:val="0"/>
      <w:marTop w:val="0"/>
      <w:marBottom w:val="0"/>
      <w:divBdr>
        <w:top w:val="none" w:sz="0" w:space="0" w:color="auto"/>
        <w:left w:val="none" w:sz="0" w:space="0" w:color="auto"/>
        <w:bottom w:val="none" w:sz="0" w:space="0" w:color="auto"/>
        <w:right w:val="none" w:sz="0" w:space="0" w:color="auto"/>
      </w:divBdr>
    </w:div>
    <w:div w:id="1700231073">
      <w:bodyDiv w:val="1"/>
      <w:marLeft w:val="0"/>
      <w:marRight w:val="0"/>
      <w:marTop w:val="0"/>
      <w:marBottom w:val="0"/>
      <w:divBdr>
        <w:top w:val="none" w:sz="0" w:space="0" w:color="auto"/>
        <w:left w:val="none" w:sz="0" w:space="0" w:color="auto"/>
        <w:bottom w:val="none" w:sz="0" w:space="0" w:color="auto"/>
        <w:right w:val="none" w:sz="0" w:space="0" w:color="auto"/>
      </w:divBdr>
    </w:div>
    <w:div w:id="1966547314">
      <w:bodyDiv w:val="1"/>
      <w:marLeft w:val="0"/>
      <w:marRight w:val="0"/>
      <w:marTop w:val="0"/>
      <w:marBottom w:val="0"/>
      <w:divBdr>
        <w:top w:val="none" w:sz="0" w:space="0" w:color="auto"/>
        <w:left w:val="none" w:sz="0" w:space="0" w:color="auto"/>
        <w:bottom w:val="none" w:sz="0" w:space="0" w:color="auto"/>
        <w:right w:val="none" w:sz="0" w:space="0" w:color="auto"/>
      </w:divBdr>
    </w:div>
    <w:div w:id="199787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marlowepl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FD528551AD8B4F84937DF36CA60FB8" ma:contentTypeVersion="12" ma:contentTypeDescription="Create a new document." ma:contentTypeScope="" ma:versionID="a55b2d60bad1bffb9ed288a212b14103">
  <xsd:schema xmlns:xsd="http://www.w3.org/2001/XMLSchema" xmlns:xs="http://www.w3.org/2001/XMLSchema" xmlns:p="http://schemas.microsoft.com/office/2006/metadata/properties" xmlns:ns3="29535097-8d38-4345-bcee-fbc4a5300ad1" xmlns:ns4="3c6f85e1-b15e-44c1-ad89-35389b8393c7" targetNamespace="http://schemas.microsoft.com/office/2006/metadata/properties" ma:root="true" ma:fieldsID="293065aa4018f612008117cd890af3f9" ns3:_="" ns4:_="">
    <xsd:import namespace="29535097-8d38-4345-bcee-fbc4a5300ad1"/>
    <xsd:import namespace="3c6f85e1-b15e-44c1-ad89-35389b8393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35097-8d38-4345-bcee-fbc4a5300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f85e1-b15e-44c1-ad89-35389b8393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70ED7-EC9B-4190-B7D7-BFC4ECC98183}">
  <ds:schemaRefs>
    <ds:schemaRef ds:uri="http://schemas.openxmlformats.org/officeDocument/2006/bibliography"/>
  </ds:schemaRefs>
</ds:datastoreItem>
</file>

<file path=customXml/itemProps2.xml><?xml version="1.0" encoding="utf-8"?>
<ds:datastoreItem xmlns:ds="http://schemas.openxmlformats.org/officeDocument/2006/customXml" ds:itemID="{B500F834-881E-44F5-8BDF-EF8EF01237AA}">
  <ds:schemaRefs>
    <ds:schemaRef ds:uri="http://schemas.microsoft.com/sharepoint/v3/contenttype/forms"/>
  </ds:schemaRefs>
</ds:datastoreItem>
</file>

<file path=customXml/itemProps3.xml><?xml version="1.0" encoding="utf-8"?>
<ds:datastoreItem xmlns:ds="http://schemas.openxmlformats.org/officeDocument/2006/customXml" ds:itemID="{01835719-AD6C-4E64-B5AD-5F6D4D667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35097-8d38-4345-bcee-fbc4a5300ad1"/>
    <ds:schemaRef ds:uri="3c6f85e1-b15e-44c1-ad89-35389b839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D4908-C84C-4E83-89D2-108A4E3F19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12416</Words>
  <Characters>70775</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Tucker</dc:creator>
  <cp:keywords/>
  <dc:description/>
  <cp:lastModifiedBy>Benjamin Tucker</cp:lastModifiedBy>
  <cp:revision>2</cp:revision>
  <cp:lastPrinted>2024-07-18T09:04:00Z</cp:lastPrinted>
  <dcterms:created xsi:type="dcterms:W3CDTF">2024-07-23T11:17:00Z</dcterms:created>
  <dcterms:modified xsi:type="dcterms:W3CDTF">2024-07-23T11:17:00Z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0x01010029FD528551AD8B4F84937DF36CA60FB8</vt:lpwstr>
  </property>
  <property fmtid="{D5CDD505-2E9C-101B-9397-08002B2CF9AE}" pid="3" name="MSIP_Label_785837b0-ed5a-4fd4-94ae-ef361c98d083_Enabled">
    <vt:lpwstr>true</vt:lpwstr>
  </property>
  <property fmtid="{D5CDD505-2E9C-101B-9397-08002B2CF9AE}" pid="4" name="MSIP_Label_785837b0-ed5a-4fd4-94ae-ef361c98d083_SetDate">
    <vt:lpwstr>2022-06-27T23:05:08Z</vt:lpwstr>
  </property>
  <property fmtid="{D5CDD505-2E9C-101B-9397-08002B2CF9AE}" pid="5" name="MSIP_Label_785837b0-ed5a-4fd4-94ae-ef361c98d083_Method">
    <vt:lpwstr>Standard</vt:lpwstr>
  </property>
  <property fmtid="{D5CDD505-2E9C-101B-9397-08002B2CF9AE}" pid="6" name="MSIP_Label_785837b0-ed5a-4fd4-94ae-ef361c98d083_Name">
    <vt:lpwstr>785837b0-ed5a-4fd4-94ae-ef361c98d083</vt:lpwstr>
  </property>
  <property fmtid="{D5CDD505-2E9C-101B-9397-08002B2CF9AE}" pid="7" name="MSIP_Label_785837b0-ed5a-4fd4-94ae-ef361c98d083_SiteId">
    <vt:lpwstr>b723253f-7281-4adc-bc1c-fc9ef3674d78</vt:lpwstr>
  </property>
  <property fmtid="{D5CDD505-2E9C-101B-9397-08002B2CF9AE}" pid="8" name="MSIP_Label_785837b0-ed5a-4fd4-94ae-ef361c98d083_ActionId">
    <vt:lpwstr>c2ea74f2-bb85-482f-9e3b-626d97628cd6</vt:lpwstr>
  </property>
  <property fmtid="{D5CDD505-2E9C-101B-9397-08002B2CF9AE}" pid="9" name="MSIP_Label_785837b0-ed5a-4fd4-94ae-ef361c98d083_ContentBits">
    <vt:lpwstr>1</vt:lpwstr>
  </property>
  <property fmtid="{D5CDD505-2E9C-101B-9397-08002B2CF9AE}" pid="10" name="PSLTemplateName">
    <vt:lpwstr>Normal</vt:lpwstr>
  </property>
</Properties>
</file>